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6A448" w14:textId="4F98EF36" w:rsidR="002F23B3" w:rsidRDefault="009035BD" w:rsidP="002F23B3">
      <w:pPr>
        <w:jc w:val="center"/>
        <w:rPr>
          <w:rFonts w:ascii="ATT Aleck Sans" w:hAnsi="ATT Aleck Sans" w:cs="ATT Aleck Sans"/>
          <w:b/>
          <w:bCs/>
          <w:color w:val="0070C0"/>
          <w:sz w:val="28"/>
          <w:szCs w:val="28"/>
        </w:rPr>
      </w:pPr>
      <w:r>
        <w:rPr>
          <w:rFonts w:ascii="ATT Aleck Sans" w:hAnsi="ATT Aleck Sans" w:cs="ATT Aleck Sans"/>
          <w:b/>
          <w:bCs/>
          <w:color w:val="0070C0"/>
          <w:sz w:val="28"/>
          <w:szCs w:val="28"/>
        </w:rPr>
        <w:t xml:space="preserve">AESP </w:t>
      </w:r>
      <w:r w:rsidR="00922195">
        <w:rPr>
          <w:rFonts w:ascii="ATT Aleck Sans" w:hAnsi="ATT Aleck Sans" w:cs="ATT Aleck Sans"/>
          <w:b/>
          <w:bCs/>
          <w:color w:val="0070C0"/>
          <w:sz w:val="28"/>
          <w:szCs w:val="28"/>
        </w:rPr>
        <w:t>Migration Request</w:t>
      </w:r>
      <w:r>
        <w:rPr>
          <w:rFonts w:ascii="ATT Aleck Sans" w:hAnsi="ATT Aleck Sans" w:cs="ATT Aleck Sans"/>
          <w:b/>
          <w:bCs/>
          <w:color w:val="0070C0"/>
          <w:sz w:val="28"/>
          <w:szCs w:val="28"/>
        </w:rPr>
        <w:t xml:space="preserve"> Process</w:t>
      </w:r>
    </w:p>
    <w:p w14:paraId="27C909C4" w14:textId="77777777" w:rsidR="002F23B3" w:rsidRPr="00B448D5" w:rsidRDefault="002F23B3" w:rsidP="002F23B3">
      <w:pPr>
        <w:jc w:val="center"/>
        <w:rPr>
          <w:rFonts w:ascii="ATT Aleck Sans" w:hAnsi="ATT Aleck Sans" w:cs="ATT Aleck Sans"/>
          <w:b/>
          <w:bCs/>
          <w:color w:val="0070C0"/>
          <w:sz w:val="20"/>
          <w:szCs w:val="20"/>
        </w:rPr>
      </w:pPr>
    </w:p>
    <w:p w14:paraId="6688731A" w14:textId="7C99A1E1" w:rsidR="002F23B3" w:rsidRPr="00B448D5" w:rsidRDefault="002F23B3" w:rsidP="002F23B3">
      <w:pPr>
        <w:jc w:val="both"/>
        <w:rPr>
          <w:rFonts w:ascii="ATT Aleck Sans" w:hAnsi="ATT Aleck Sans" w:cs="ATT Aleck Sans"/>
          <w:i/>
          <w:iCs/>
          <w:sz w:val="20"/>
          <w:szCs w:val="20"/>
        </w:rPr>
      </w:pPr>
      <w:r w:rsidRPr="00B448D5">
        <w:rPr>
          <w:rFonts w:ascii="ATT Aleck Sans" w:hAnsi="ATT Aleck Sans" w:cs="ATT Aleck Sans"/>
          <w:i/>
          <w:iCs/>
          <w:sz w:val="20"/>
          <w:szCs w:val="20"/>
        </w:rPr>
        <w:t xml:space="preserve">This document </w:t>
      </w:r>
      <w:r w:rsidR="005A3D63">
        <w:rPr>
          <w:rFonts w:ascii="ATT Aleck Sans" w:hAnsi="ATT Aleck Sans" w:cs="ATT Aleck Sans"/>
          <w:i/>
          <w:iCs/>
          <w:sz w:val="20"/>
          <w:szCs w:val="20"/>
        </w:rPr>
        <w:t>outlines</w:t>
      </w:r>
      <w:r w:rsidR="007D0F24">
        <w:rPr>
          <w:rFonts w:ascii="ATT Aleck Sans" w:hAnsi="ATT Aleck Sans" w:cs="ATT Aleck Sans"/>
          <w:i/>
          <w:iCs/>
          <w:sz w:val="20"/>
          <w:szCs w:val="20"/>
        </w:rPr>
        <w:t xml:space="preserve"> the process AT&amp;T </w:t>
      </w:r>
      <w:r w:rsidR="005A3D63">
        <w:rPr>
          <w:rFonts w:ascii="ATT Aleck Sans" w:hAnsi="ATT Aleck Sans" w:cs="ATT Aleck Sans"/>
          <w:i/>
          <w:iCs/>
          <w:sz w:val="20"/>
          <w:szCs w:val="20"/>
        </w:rPr>
        <w:t xml:space="preserve">Incumbent Local Exchange Companies (AT&amp;T </w:t>
      </w:r>
      <w:r w:rsidR="007D0F24">
        <w:rPr>
          <w:rFonts w:ascii="ATT Aleck Sans" w:hAnsi="ATT Aleck Sans" w:cs="ATT Aleck Sans"/>
          <w:i/>
          <w:iCs/>
          <w:sz w:val="20"/>
          <w:szCs w:val="20"/>
        </w:rPr>
        <w:t>ILECs</w:t>
      </w:r>
      <w:r w:rsidR="005A3D63">
        <w:rPr>
          <w:rFonts w:ascii="ATT Aleck Sans" w:hAnsi="ATT Aleck Sans" w:cs="ATT Aleck Sans"/>
          <w:i/>
          <w:iCs/>
          <w:sz w:val="20"/>
          <w:szCs w:val="20"/>
        </w:rPr>
        <w:t>)</w:t>
      </w:r>
      <w:r w:rsidR="007D0F24">
        <w:rPr>
          <w:rFonts w:ascii="ATT Aleck Sans" w:hAnsi="ATT Aleck Sans" w:cs="ATT Aleck Sans"/>
          <w:i/>
          <w:iCs/>
          <w:sz w:val="20"/>
          <w:szCs w:val="20"/>
        </w:rPr>
        <w:t xml:space="preserve"> </w:t>
      </w:r>
      <w:r w:rsidR="005A3D63">
        <w:rPr>
          <w:rFonts w:ascii="ATT Aleck Sans" w:hAnsi="ATT Aleck Sans" w:cs="ATT Aleck Sans"/>
          <w:i/>
          <w:iCs/>
          <w:sz w:val="20"/>
          <w:szCs w:val="20"/>
        </w:rPr>
        <w:t>will follow when migrating their end user’s 9-1-1 traffic and A</w:t>
      </w:r>
      <w:r w:rsidR="009A17E1">
        <w:rPr>
          <w:rFonts w:ascii="ATT Aleck Sans" w:hAnsi="ATT Aleck Sans" w:cs="ATT Aleck Sans"/>
          <w:i/>
          <w:iCs/>
          <w:sz w:val="20"/>
          <w:szCs w:val="20"/>
        </w:rPr>
        <w:t xml:space="preserve">utomatic Location Information </w:t>
      </w:r>
      <w:r w:rsidR="005A3D63">
        <w:rPr>
          <w:rFonts w:ascii="ATT Aleck Sans" w:hAnsi="ATT Aleck Sans" w:cs="ATT Aleck Sans"/>
          <w:i/>
          <w:iCs/>
          <w:sz w:val="20"/>
          <w:szCs w:val="20"/>
        </w:rPr>
        <w:t xml:space="preserve">to </w:t>
      </w:r>
      <w:r w:rsidR="00E5675C">
        <w:rPr>
          <w:rFonts w:ascii="ATT Aleck Sans" w:hAnsi="ATT Aleck Sans" w:cs="ATT Aleck Sans"/>
          <w:i/>
          <w:iCs/>
          <w:sz w:val="20"/>
          <w:szCs w:val="20"/>
        </w:rPr>
        <w:t xml:space="preserve">Alternate Emergency Service Providers </w:t>
      </w:r>
      <w:r w:rsidR="009035BD">
        <w:rPr>
          <w:rFonts w:ascii="ATT Aleck Sans" w:hAnsi="ATT Aleck Sans" w:cs="ATT Aleck Sans"/>
          <w:i/>
          <w:iCs/>
          <w:sz w:val="20"/>
          <w:szCs w:val="20"/>
        </w:rPr>
        <w:t>(</w:t>
      </w:r>
      <w:r w:rsidR="00E5675C">
        <w:rPr>
          <w:rFonts w:ascii="ATT Aleck Sans" w:hAnsi="ATT Aleck Sans" w:cs="ATT Aleck Sans"/>
          <w:i/>
          <w:iCs/>
          <w:sz w:val="20"/>
          <w:szCs w:val="20"/>
        </w:rPr>
        <w:t>AESPs)</w:t>
      </w:r>
      <w:r w:rsidR="005A3D63">
        <w:rPr>
          <w:rFonts w:ascii="ATT Aleck Sans" w:hAnsi="ATT Aleck Sans" w:cs="ATT Aleck Sans"/>
          <w:i/>
          <w:iCs/>
          <w:sz w:val="20"/>
          <w:szCs w:val="20"/>
        </w:rPr>
        <w:t>.</w:t>
      </w:r>
      <w:r w:rsidR="000B1E89" w:rsidRPr="00B448D5">
        <w:rPr>
          <w:rFonts w:ascii="ATT Aleck Sans" w:hAnsi="ATT Aleck Sans" w:cs="ATT Aleck Sans"/>
          <w:i/>
          <w:iCs/>
          <w:sz w:val="20"/>
          <w:szCs w:val="20"/>
        </w:rPr>
        <w:t xml:space="preserve"> </w:t>
      </w:r>
    </w:p>
    <w:p w14:paraId="1BB4908D" w14:textId="77777777" w:rsidR="002F23B3" w:rsidRPr="00B448D5" w:rsidRDefault="002F23B3" w:rsidP="002F23B3">
      <w:pPr>
        <w:jc w:val="both"/>
        <w:rPr>
          <w:rFonts w:ascii="ATT Aleck Sans" w:hAnsi="ATT Aleck Sans" w:cs="ATT Aleck Sans"/>
          <w:i/>
          <w:iCs/>
          <w:sz w:val="20"/>
          <w:szCs w:val="20"/>
        </w:rPr>
      </w:pPr>
    </w:p>
    <w:p w14:paraId="791A3E78" w14:textId="60358968" w:rsidR="002F23B3" w:rsidRPr="00B448D5" w:rsidRDefault="002F23B3" w:rsidP="002F23B3">
      <w:pPr>
        <w:jc w:val="both"/>
        <w:rPr>
          <w:rFonts w:ascii="ATT Aleck Sans" w:hAnsi="ATT Aleck Sans" w:cs="ATT Aleck Sans"/>
          <w:i/>
          <w:iCs/>
          <w:color w:val="0070C0"/>
          <w:sz w:val="20"/>
          <w:szCs w:val="20"/>
        </w:rPr>
      </w:pPr>
      <w:r w:rsidRPr="00B448D5">
        <w:rPr>
          <w:rFonts w:ascii="ATT Aleck Sans" w:hAnsi="ATT Aleck Sans" w:cs="ATT Aleck Sans"/>
          <w:i/>
          <w:iCs/>
          <w:color w:val="0070C0"/>
          <w:sz w:val="20"/>
          <w:szCs w:val="20"/>
        </w:rPr>
        <w:t>Please note:  th</w:t>
      </w:r>
      <w:r w:rsidR="007D0F24">
        <w:rPr>
          <w:rFonts w:ascii="ATT Aleck Sans" w:hAnsi="ATT Aleck Sans" w:cs="ATT Aleck Sans"/>
          <w:i/>
          <w:iCs/>
          <w:color w:val="0070C0"/>
          <w:sz w:val="20"/>
          <w:szCs w:val="20"/>
        </w:rPr>
        <w:t>is</w:t>
      </w:r>
      <w:r w:rsidRPr="00B448D5">
        <w:rPr>
          <w:rFonts w:ascii="ATT Aleck Sans" w:hAnsi="ATT Aleck Sans" w:cs="ATT Aleck Sans"/>
          <w:i/>
          <w:iCs/>
          <w:color w:val="0070C0"/>
          <w:sz w:val="20"/>
          <w:szCs w:val="20"/>
        </w:rPr>
        <w:t xml:space="preserve"> process</w:t>
      </w:r>
      <w:r w:rsidR="009035BD">
        <w:rPr>
          <w:rFonts w:ascii="ATT Aleck Sans" w:hAnsi="ATT Aleck Sans" w:cs="ATT Aleck Sans"/>
          <w:i/>
          <w:iCs/>
          <w:color w:val="0070C0"/>
          <w:sz w:val="20"/>
          <w:szCs w:val="20"/>
        </w:rPr>
        <w:t xml:space="preserve"> </w:t>
      </w:r>
      <w:r w:rsidR="009035BD" w:rsidRPr="00B448D5">
        <w:rPr>
          <w:rFonts w:ascii="ATT Aleck Sans" w:hAnsi="ATT Aleck Sans" w:cs="ATT Aleck Sans"/>
          <w:i/>
          <w:iCs/>
          <w:color w:val="0070C0"/>
          <w:sz w:val="20"/>
          <w:szCs w:val="20"/>
        </w:rPr>
        <w:t>appl</w:t>
      </w:r>
      <w:r w:rsidR="007D0F24">
        <w:rPr>
          <w:rFonts w:ascii="ATT Aleck Sans" w:hAnsi="ATT Aleck Sans" w:cs="ATT Aleck Sans"/>
          <w:i/>
          <w:iCs/>
          <w:color w:val="0070C0"/>
          <w:sz w:val="20"/>
          <w:szCs w:val="20"/>
        </w:rPr>
        <w:t>ies</w:t>
      </w:r>
      <w:r w:rsidR="009035BD" w:rsidRPr="00B448D5">
        <w:rPr>
          <w:rFonts w:ascii="ATT Aleck Sans" w:hAnsi="ATT Aleck Sans" w:cs="ATT Aleck Sans"/>
          <w:i/>
          <w:iCs/>
          <w:color w:val="0070C0"/>
          <w:sz w:val="20"/>
          <w:szCs w:val="20"/>
        </w:rPr>
        <w:t xml:space="preserve"> </w:t>
      </w:r>
      <w:r w:rsidRPr="00B448D5">
        <w:rPr>
          <w:rFonts w:ascii="ATT Aleck Sans" w:hAnsi="ATT Aleck Sans" w:cs="ATT Aleck Sans"/>
          <w:i/>
          <w:iCs/>
          <w:color w:val="0070C0"/>
          <w:sz w:val="20"/>
          <w:szCs w:val="20"/>
        </w:rPr>
        <w:t>only to AT&amp;T ILEC</w:t>
      </w:r>
      <w:r w:rsidR="007D0F24">
        <w:rPr>
          <w:rFonts w:ascii="ATT Aleck Sans" w:hAnsi="ATT Aleck Sans" w:cs="ATT Aleck Sans"/>
          <w:i/>
          <w:iCs/>
          <w:color w:val="0070C0"/>
          <w:sz w:val="20"/>
          <w:szCs w:val="20"/>
        </w:rPr>
        <w:t>s</w:t>
      </w:r>
      <w:r w:rsidRPr="00B448D5">
        <w:rPr>
          <w:rFonts w:ascii="ATT Aleck Sans" w:hAnsi="ATT Aleck Sans" w:cs="ATT Aleck Sans"/>
          <w:i/>
          <w:iCs/>
          <w:color w:val="0070C0"/>
          <w:sz w:val="20"/>
          <w:szCs w:val="20"/>
        </w:rPr>
        <w:t xml:space="preserve">.  </w:t>
      </w:r>
      <w:r w:rsidR="009035BD">
        <w:rPr>
          <w:rFonts w:ascii="ATT Aleck Sans" w:hAnsi="ATT Aleck Sans" w:cs="ATT Aleck Sans"/>
          <w:i/>
          <w:iCs/>
          <w:color w:val="0070C0"/>
          <w:sz w:val="20"/>
          <w:szCs w:val="20"/>
        </w:rPr>
        <w:t xml:space="preserve">Other AT&amp;T affiliates such as </w:t>
      </w:r>
      <w:r w:rsidRPr="00B448D5">
        <w:rPr>
          <w:rFonts w:ascii="ATT Aleck Sans" w:hAnsi="ATT Aleck Sans" w:cs="ATT Aleck Sans"/>
          <w:i/>
          <w:iCs/>
          <w:color w:val="0070C0"/>
          <w:sz w:val="20"/>
          <w:szCs w:val="20"/>
        </w:rPr>
        <w:t>AT&amp;T</w:t>
      </w:r>
      <w:r w:rsidR="009035BD">
        <w:rPr>
          <w:rFonts w:ascii="ATT Aleck Sans" w:hAnsi="ATT Aleck Sans" w:cs="ATT Aleck Sans"/>
          <w:i/>
          <w:iCs/>
          <w:color w:val="0070C0"/>
          <w:sz w:val="20"/>
          <w:szCs w:val="20"/>
        </w:rPr>
        <w:t xml:space="preserve">’s </w:t>
      </w:r>
      <w:r w:rsidR="007D0F24">
        <w:rPr>
          <w:rFonts w:ascii="ATT Aleck Sans" w:hAnsi="ATT Aleck Sans" w:cs="ATT Aleck Sans"/>
          <w:i/>
          <w:iCs/>
          <w:color w:val="0070C0"/>
          <w:sz w:val="20"/>
          <w:szCs w:val="20"/>
        </w:rPr>
        <w:t>Mobility</w:t>
      </w:r>
      <w:r w:rsidR="009035BD">
        <w:rPr>
          <w:rFonts w:ascii="ATT Aleck Sans" w:hAnsi="ATT Aleck Sans" w:cs="ATT Aleck Sans"/>
          <w:i/>
          <w:iCs/>
          <w:color w:val="0070C0"/>
          <w:sz w:val="20"/>
          <w:szCs w:val="20"/>
        </w:rPr>
        <w:t xml:space="preserve"> and Competitive Local Exchange Carrier (CLEC) affiliate</w:t>
      </w:r>
      <w:r w:rsidR="003B7054">
        <w:rPr>
          <w:rFonts w:ascii="ATT Aleck Sans" w:hAnsi="ATT Aleck Sans" w:cs="ATT Aleck Sans"/>
          <w:i/>
          <w:iCs/>
          <w:color w:val="0070C0"/>
          <w:sz w:val="20"/>
          <w:szCs w:val="20"/>
        </w:rPr>
        <w:t>s</w:t>
      </w:r>
      <w:r w:rsidRPr="00B448D5">
        <w:rPr>
          <w:rFonts w:ascii="ATT Aleck Sans" w:hAnsi="ATT Aleck Sans" w:cs="ATT Aleck Sans"/>
          <w:i/>
          <w:iCs/>
          <w:color w:val="0070C0"/>
          <w:sz w:val="20"/>
          <w:szCs w:val="20"/>
        </w:rPr>
        <w:t xml:space="preserve"> </w:t>
      </w:r>
      <w:r w:rsidR="009035BD">
        <w:rPr>
          <w:rFonts w:ascii="ATT Aleck Sans" w:hAnsi="ATT Aleck Sans" w:cs="ATT Aleck Sans"/>
          <w:i/>
          <w:iCs/>
          <w:color w:val="0070C0"/>
          <w:sz w:val="20"/>
          <w:szCs w:val="20"/>
        </w:rPr>
        <w:t>do not use th</w:t>
      </w:r>
      <w:r w:rsidR="007D0F24">
        <w:rPr>
          <w:rFonts w:ascii="ATT Aleck Sans" w:hAnsi="ATT Aleck Sans" w:cs="ATT Aleck Sans"/>
          <w:i/>
          <w:iCs/>
          <w:color w:val="0070C0"/>
          <w:sz w:val="20"/>
          <w:szCs w:val="20"/>
        </w:rPr>
        <w:t>is</w:t>
      </w:r>
      <w:r w:rsidR="009035BD">
        <w:rPr>
          <w:rFonts w:ascii="ATT Aleck Sans" w:hAnsi="ATT Aleck Sans" w:cs="ATT Aleck Sans"/>
          <w:i/>
          <w:iCs/>
          <w:color w:val="0070C0"/>
          <w:sz w:val="20"/>
          <w:szCs w:val="20"/>
        </w:rPr>
        <w:t xml:space="preserve"> process.  AESP should contact those affiliates </w:t>
      </w:r>
      <w:r w:rsidR="005A3D63">
        <w:rPr>
          <w:rFonts w:ascii="ATT Aleck Sans" w:hAnsi="ATT Aleck Sans" w:cs="ATT Aleck Sans"/>
          <w:i/>
          <w:iCs/>
          <w:color w:val="0070C0"/>
          <w:sz w:val="20"/>
          <w:szCs w:val="20"/>
        </w:rPr>
        <w:t xml:space="preserve">directly </w:t>
      </w:r>
      <w:r w:rsidR="003B7054">
        <w:rPr>
          <w:rFonts w:ascii="ATT Aleck Sans" w:hAnsi="ATT Aleck Sans" w:cs="ATT Aleck Sans"/>
          <w:i/>
          <w:iCs/>
          <w:color w:val="0070C0"/>
          <w:sz w:val="20"/>
          <w:szCs w:val="20"/>
        </w:rPr>
        <w:t xml:space="preserve">to discuss </w:t>
      </w:r>
      <w:r w:rsidR="007D0F24">
        <w:rPr>
          <w:rFonts w:ascii="ATT Aleck Sans" w:hAnsi="ATT Aleck Sans" w:cs="ATT Aleck Sans"/>
          <w:i/>
          <w:iCs/>
          <w:color w:val="0070C0"/>
          <w:sz w:val="20"/>
          <w:szCs w:val="20"/>
        </w:rPr>
        <w:t xml:space="preserve">their individual </w:t>
      </w:r>
      <w:r w:rsidR="003B7054">
        <w:rPr>
          <w:rFonts w:ascii="ATT Aleck Sans" w:hAnsi="ATT Aleck Sans" w:cs="ATT Aleck Sans"/>
          <w:i/>
          <w:iCs/>
          <w:color w:val="0070C0"/>
          <w:sz w:val="20"/>
          <w:szCs w:val="20"/>
        </w:rPr>
        <w:t>migration process</w:t>
      </w:r>
      <w:r w:rsidR="009A17E1">
        <w:rPr>
          <w:rFonts w:ascii="ATT Aleck Sans" w:hAnsi="ATT Aleck Sans" w:cs="ATT Aleck Sans"/>
          <w:i/>
          <w:iCs/>
          <w:color w:val="0070C0"/>
          <w:sz w:val="20"/>
          <w:szCs w:val="20"/>
        </w:rPr>
        <w:t>es</w:t>
      </w:r>
      <w:r w:rsidR="003B7054">
        <w:rPr>
          <w:rFonts w:ascii="ATT Aleck Sans" w:hAnsi="ATT Aleck Sans" w:cs="ATT Aleck Sans"/>
          <w:i/>
          <w:iCs/>
          <w:color w:val="0070C0"/>
          <w:sz w:val="20"/>
          <w:szCs w:val="20"/>
        </w:rPr>
        <w:t xml:space="preserve">. </w:t>
      </w:r>
      <w:r w:rsidR="00187E74">
        <w:rPr>
          <w:rFonts w:ascii="ATT Aleck Sans" w:hAnsi="ATT Aleck Sans" w:cs="ATT Aleck Sans"/>
          <w:i/>
          <w:iCs/>
          <w:color w:val="0070C0"/>
          <w:sz w:val="20"/>
          <w:szCs w:val="20"/>
        </w:rPr>
        <w:t xml:space="preserve"> </w:t>
      </w:r>
      <w:r w:rsidR="007D0F24">
        <w:rPr>
          <w:rFonts w:ascii="ATT Aleck Sans" w:hAnsi="ATT Aleck Sans" w:cs="ATT Aleck Sans"/>
          <w:i/>
          <w:iCs/>
          <w:color w:val="0070C0"/>
          <w:sz w:val="20"/>
          <w:szCs w:val="20"/>
        </w:rPr>
        <w:t>T</w:t>
      </w:r>
      <w:r w:rsidR="00187E74">
        <w:rPr>
          <w:rFonts w:ascii="ATT Aleck Sans" w:hAnsi="ATT Aleck Sans" w:cs="ATT Aleck Sans"/>
          <w:i/>
          <w:iCs/>
          <w:color w:val="0070C0"/>
          <w:sz w:val="20"/>
          <w:szCs w:val="20"/>
        </w:rPr>
        <w:t>his document</w:t>
      </w:r>
      <w:r w:rsidR="009A17E1">
        <w:rPr>
          <w:rFonts w:ascii="ATT Aleck Sans" w:hAnsi="ATT Aleck Sans" w:cs="ATT Aleck Sans"/>
          <w:i/>
          <w:iCs/>
          <w:color w:val="0070C0"/>
          <w:sz w:val="20"/>
          <w:szCs w:val="20"/>
        </w:rPr>
        <w:t>’s use of AT&amp;T</w:t>
      </w:r>
      <w:r w:rsidR="00187E74">
        <w:rPr>
          <w:rFonts w:ascii="ATT Aleck Sans" w:hAnsi="ATT Aleck Sans" w:cs="ATT Aleck Sans"/>
          <w:i/>
          <w:iCs/>
          <w:color w:val="0070C0"/>
          <w:sz w:val="20"/>
          <w:szCs w:val="20"/>
        </w:rPr>
        <w:t xml:space="preserve"> refer</w:t>
      </w:r>
      <w:r w:rsidR="009A17E1">
        <w:rPr>
          <w:rFonts w:ascii="ATT Aleck Sans" w:hAnsi="ATT Aleck Sans" w:cs="ATT Aleck Sans"/>
          <w:i/>
          <w:iCs/>
          <w:color w:val="0070C0"/>
          <w:sz w:val="20"/>
          <w:szCs w:val="20"/>
        </w:rPr>
        <w:t>s only</w:t>
      </w:r>
      <w:r w:rsidR="00187E74">
        <w:rPr>
          <w:rFonts w:ascii="ATT Aleck Sans" w:hAnsi="ATT Aleck Sans" w:cs="ATT Aleck Sans"/>
          <w:i/>
          <w:iCs/>
          <w:color w:val="0070C0"/>
          <w:sz w:val="20"/>
          <w:szCs w:val="20"/>
        </w:rPr>
        <w:t xml:space="preserve"> to AT&amp;T ILECs.</w:t>
      </w:r>
    </w:p>
    <w:p w14:paraId="1A16B6D0" w14:textId="08D30267" w:rsidR="00CF5E60" w:rsidRPr="00E56339" w:rsidRDefault="00CF5E60" w:rsidP="002F23B3">
      <w:pPr>
        <w:rPr>
          <w:rFonts w:ascii="ATT Aleck Sans" w:hAnsi="ATT Aleck Sans" w:cs="ATT Aleck Sans"/>
          <w:sz w:val="22"/>
          <w:szCs w:val="22"/>
        </w:rPr>
      </w:pPr>
    </w:p>
    <w:p w14:paraId="220FEC7B" w14:textId="2B8E831C" w:rsidR="004F71F7" w:rsidRPr="00E56339" w:rsidRDefault="00907DDE" w:rsidP="002F23B3">
      <w:pPr>
        <w:rPr>
          <w:rFonts w:ascii="ATT Aleck Sans" w:hAnsi="ATT Aleck Sans" w:cs="ATT Aleck Sans"/>
          <w:b/>
          <w:bCs/>
          <w:color w:val="0070C0"/>
          <w:sz w:val="22"/>
          <w:szCs w:val="22"/>
        </w:rPr>
      </w:pPr>
      <w:r w:rsidRPr="00E56339">
        <w:rPr>
          <w:rFonts w:ascii="ATT Aleck Sans" w:hAnsi="ATT Aleck Sans" w:cs="ATT Aleck Sans"/>
          <w:b/>
          <w:bCs/>
          <w:color w:val="0070C0"/>
          <w:sz w:val="22"/>
          <w:szCs w:val="22"/>
        </w:rPr>
        <w:t xml:space="preserve">Background </w:t>
      </w:r>
    </w:p>
    <w:p w14:paraId="66041C6D" w14:textId="72BBCEE3" w:rsidR="004F71F7" w:rsidRPr="00E06959" w:rsidRDefault="004F71F7" w:rsidP="004F71F7">
      <w:pPr>
        <w:jc w:val="both"/>
        <w:rPr>
          <w:rFonts w:ascii="ATT Aleck Sans" w:hAnsi="ATT Aleck Sans" w:cs="ATT Aleck Sans"/>
          <w:sz w:val="20"/>
          <w:szCs w:val="20"/>
        </w:rPr>
      </w:pPr>
      <w:r w:rsidRPr="00E06959">
        <w:rPr>
          <w:rFonts w:ascii="ATT Aleck Sans" w:hAnsi="ATT Aleck Sans" w:cs="ATT Aleck Sans"/>
          <w:sz w:val="20"/>
          <w:szCs w:val="20"/>
        </w:rPr>
        <w:t xml:space="preserve">An AESP </w:t>
      </w:r>
      <w:r w:rsidR="00CE525E">
        <w:rPr>
          <w:rFonts w:ascii="ATT Aleck Sans" w:hAnsi="ATT Aleck Sans" w:cs="ATT Aleck Sans"/>
          <w:sz w:val="20"/>
          <w:szCs w:val="20"/>
        </w:rPr>
        <w:t>M</w:t>
      </w:r>
      <w:r w:rsidRPr="00E06959">
        <w:rPr>
          <w:rFonts w:ascii="ATT Aleck Sans" w:hAnsi="ATT Aleck Sans" w:cs="ATT Aleck Sans"/>
          <w:sz w:val="20"/>
          <w:szCs w:val="20"/>
        </w:rPr>
        <w:t>igration is a change in 9</w:t>
      </w:r>
      <w:r w:rsidR="009A17E1">
        <w:rPr>
          <w:rFonts w:ascii="ATT Aleck Sans" w:hAnsi="ATT Aleck Sans" w:cs="ATT Aleck Sans"/>
          <w:sz w:val="20"/>
          <w:szCs w:val="20"/>
        </w:rPr>
        <w:t>-</w:t>
      </w:r>
      <w:r w:rsidRPr="00E06959">
        <w:rPr>
          <w:rFonts w:ascii="ATT Aleck Sans" w:hAnsi="ATT Aleck Sans" w:cs="ATT Aleck Sans"/>
          <w:sz w:val="20"/>
          <w:szCs w:val="20"/>
        </w:rPr>
        <w:t>1</w:t>
      </w:r>
      <w:r w:rsidR="009A17E1">
        <w:rPr>
          <w:rFonts w:ascii="ATT Aleck Sans" w:hAnsi="ATT Aleck Sans" w:cs="ATT Aleck Sans"/>
          <w:sz w:val="20"/>
          <w:szCs w:val="20"/>
        </w:rPr>
        <w:t>-</w:t>
      </w:r>
      <w:r w:rsidRPr="00E06959">
        <w:rPr>
          <w:rFonts w:ascii="ATT Aleck Sans" w:hAnsi="ATT Aleck Sans" w:cs="ATT Aleck Sans"/>
          <w:sz w:val="20"/>
          <w:szCs w:val="20"/>
        </w:rPr>
        <w:t xml:space="preserve">1 Service Provider for a jurisdiction (municipality, county, region, state) as chosen by the </w:t>
      </w:r>
      <w:r w:rsidR="009A17E1">
        <w:rPr>
          <w:rFonts w:ascii="ATT Aleck Sans" w:hAnsi="ATT Aleck Sans" w:cs="ATT Aleck Sans"/>
          <w:sz w:val="20"/>
          <w:szCs w:val="20"/>
        </w:rPr>
        <w:t>9-1-1</w:t>
      </w:r>
      <w:r w:rsidRPr="00E06959">
        <w:rPr>
          <w:rFonts w:ascii="ATT Aleck Sans" w:hAnsi="ATT Aleck Sans" w:cs="ATT Aleck Sans"/>
          <w:sz w:val="20"/>
          <w:szCs w:val="20"/>
        </w:rPr>
        <w:t xml:space="preserve"> Authority. AESP Migrations require all Originating Service Providers (OSPs) within </w:t>
      </w:r>
      <w:r w:rsidR="009A17E1">
        <w:rPr>
          <w:rFonts w:ascii="ATT Aleck Sans" w:hAnsi="ATT Aleck Sans" w:cs="ATT Aleck Sans"/>
          <w:sz w:val="20"/>
          <w:szCs w:val="20"/>
        </w:rPr>
        <w:t xml:space="preserve">the 9-1-1 Authority’s </w:t>
      </w:r>
      <w:r w:rsidRPr="00E06959">
        <w:rPr>
          <w:rFonts w:ascii="ATT Aleck Sans" w:hAnsi="ATT Aleck Sans" w:cs="ATT Aleck Sans"/>
          <w:sz w:val="20"/>
          <w:szCs w:val="20"/>
        </w:rPr>
        <w:t>jurisdiction to</w:t>
      </w:r>
      <w:r w:rsidR="0032425D" w:rsidRPr="00E06959">
        <w:rPr>
          <w:rFonts w:ascii="ATT Aleck Sans" w:hAnsi="ATT Aleck Sans" w:cs="ATT Aleck Sans"/>
          <w:sz w:val="20"/>
          <w:szCs w:val="20"/>
        </w:rPr>
        <w:t xml:space="preserve"> load subscriber data and </w:t>
      </w:r>
      <w:r w:rsidR="00D52666" w:rsidRPr="00E06959">
        <w:rPr>
          <w:rFonts w:ascii="ATT Aleck Sans" w:hAnsi="ATT Aleck Sans" w:cs="ATT Aleck Sans"/>
          <w:sz w:val="20"/>
          <w:szCs w:val="20"/>
        </w:rPr>
        <w:t>establish network connectivity</w:t>
      </w:r>
      <w:r w:rsidR="00D52666">
        <w:rPr>
          <w:rFonts w:ascii="ATT Aleck Sans" w:hAnsi="ATT Aleck Sans" w:cs="ATT Aleck Sans"/>
          <w:sz w:val="20"/>
          <w:szCs w:val="20"/>
        </w:rPr>
        <w:t xml:space="preserve"> for the delivery of</w:t>
      </w:r>
      <w:r w:rsidRPr="00E06959">
        <w:rPr>
          <w:rFonts w:ascii="ATT Aleck Sans" w:hAnsi="ATT Aleck Sans" w:cs="ATT Aleck Sans"/>
          <w:sz w:val="20"/>
          <w:szCs w:val="20"/>
        </w:rPr>
        <w:t xml:space="preserve"> their </w:t>
      </w:r>
      <w:r w:rsidR="003B7054">
        <w:rPr>
          <w:rFonts w:ascii="ATT Aleck Sans" w:hAnsi="ATT Aleck Sans" w:cs="ATT Aleck Sans"/>
          <w:sz w:val="20"/>
          <w:szCs w:val="20"/>
        </w:rPr>
        <w:t xml:space="preserve">end user’s </w:t>
      </w:r>
      <w:r w:rsidR="00CE525E">
        <w:rPr>
          <w:rFonts w:ascii="ATT Aleck Sans" w:hAnsi="ATT Aleck Sans" w:cs="ATT Aleck Sans"/>
          <w:sz w:val="20"/>
          <w:szCs w:val="20"/>
        </w:rPr>
        <w:t>9</w:t>
      </w:r>
      <w:r w:rsidR="009A17E1">
        <w:rPr>
          <w:rFonts w:ascii="ATT Aleck Sans" w:hAnsi="ATT Aleck Sans" w:cs="ATT Aleck Sans"/>
          <w:sz w:val="20"/>
          <w:szCs w:val="20"/>
        </w:rPr>
        <w:t>-</w:t>
      </w:r>
      <w:r w:rsidR="00CE525E">
        <w:rPr>
          <w:rFonts w:ascii="ATT Aleck Sans" w:hAnsi="ATT Aleck Sans" w:cs="ATT Aleck Sans"/>
          <w:sz w:val="20"/>
          <w:szCs w:val="20"/>
        </w:rPr>
        <w:t>1</w:t>
      </w:r>
      <w:r w:rsidR="009A17E1">
        <w:rPr>
          <w:rFonts w:ascii="ATT Aleck Sans" w:hAnsi="ATT Aleck Sans" w:cs="ATT Aleck Sans"/>
          <w:sz w:val="20"/>
          <w:szCs w:val="20"/>
        </w:rPr>
        <w:t>-</w:t>
      </w:r>
      <w:r w:rsidR="00CE525E">
        <w:rPr>
          <w:rFonts w:ascii="ATT Aleck Sans" w:hAnsi="ATT Aleck Sans" w:cs="ATT Aleck Sans"/>
          <w:sz w:val="20"/>
          <w:szCs w:val="20"/>
        </w:rPr>
        <w:t xml:space="preserve">1 </w:t>
      </w:r>
      <w:r w:rsidR="00D52666">
        <w:rPr>
          <w:rFonts w:ascii="ATT Aleck Sans" w:hAnsi="ATT Aleck Sans" w:cs="ATT Aleck Sans"/>
          <w:sz w:val="20"/>
          <w:szCs w:val="20"/>
        </w:rPr>
        <w:t>calls</w:t>
      </w:r>
      <w:r w:rsidRPr="00E06959">
        <w:rPr>
          <w:rFonts w:ascii="ATT Aleck Sans" w:hAnsi="ATT Aleck Sans" w:cs="ATT Aleck Sans"/>
          <w:sz w:val="20"/>
          <w:szCs w:val="20"/>
        </w:rPr>
        <w:t xml:space="preserve"> to the </w:t>
      </w:r>
      <w:r w:rsidR="009A17E1">
        <w:rPr>
          <w:rFonts w:ascii="ATT Aleck Sans" w:hAnsi="ATT Aleck Sans" w:cs="ATT Aleck Sans"/>
          <w:sz w:val="20"/>
          <w:szCs w:val="20"/>
        </w:rPr>
        <w:t>new 9-1-1 Service Provider</w:t>
      </w:r>
      <w:r w:rsidR="0032425D" w:rsidRPr="00E06959">
        <w:rPr>
          <w:rFonts w:ascii="ATT Aleck Sans" w:hAnsi="ATT Aleck Sans" w:cs="ATT Aleck Sans"/>
          <w:sz w:val="20"/>
          <w:szCs w:val="20"/>
        </w:rPr>
        <w:t>.</w:t>
      </w:r>
    </w:p>
    <w:p w14:paraId="4287C3A6" w14:textId="6D699D48" w:rsidR="004F71F7" w:rsidRPr="00E56339" w:rsidRDefault="004F71F7" w:rsidP="004F71F7">
      <w:pPr>
        <w:jc w:val="both"/>
        <w:rPr>
          <w:rFonts w:ascii="ATT Aleck Sans" w:hAnsi="ATT Aleck Sans" w:cs="ATT Aleck Sans"/>
          <w:sz w:val="22"/>
          <w:szCs w:val="22"/>
        </w:rPr>
      </w:pPr>
    </w:p>
    <w:p w14:paraId="1EA30636" w14:textId="5FF3EB16" w:rsidR="000B1E89" w:rsidRPr="00E56339" w:rsidRDefault="00E56339" w:rsidP="004F71F7">
      <w:pPr>
        <w:jc w:val="both"/>
        <w:rPr>
          <w:rFonts w:ascii="ATT Aleck Sans" w:hAnsi="ATT Aleck Sans" w:cs="ATT Aleck Sans"/>
          <w:b/>
          <w:bCs/>
          <w:color w:val="0070C0"/>
          <w:sz w:val="22"/>
          <w:szCs w:val="22"/>
        </w:rPr>
      </w:pPr>
      <w:r w:rsidRPr="00E56339">
        <w:rPr>
          <w:rFonts w:ascii="ATT Aleck Sans" w:hAnsi="ATT Aleck Sans" w:cs="ATT Aleck Sans"/>
          <w:b/>
          <w:bCs/>
          <w:color w:val="0070C0"/>
          <w:sz w:val="22"/>
          <w:szCs w:val="22"/>
        </w:rPr>
        <w:t xml:space="preserve">AESP Migrations Mailbox </w:t>
      </w:r>
    </w:p>
    <w:p w14:paraId="1FC6AE35" w14:textId="6975AE27" w:rsidR="00F92C6A" w:rsidRPr="00E06959" w:rsidRDefault="009A17E1" w:rsidP="00F92C6A">
      <w:pPr>
        <w:jc w:val="both"/>
        <w:rPr>
          <w:rFonts w:ascii="ATT Aleck Sans" w:hAnsi="ATT Aleck Sans" w:cs="ATT Aleck Sans"/>
          <w:sz w:val="20"/>
          <w:szCs w:val="20"/>
        </w:rPr>
      </w:pPr>
      <w:r>
        <w:rPr>
          <w:rFonts w:ascii="ATT Aleck Sans" w:hAnsi="ATT Aleck Sans" w:cs="ATT Aleck Sans"/>
          <w:sz w:val="20"/>
          <w:szCs w:val="20"/>
        </w:rPr>
        <w:t xml:space="preserve">AT&amp;T needs </w:t>
      </w:r>
      <w:r w:rsidR="00187E74">
        <w:rPr>
          <w:rFonts w:ascii="ATT Aleck Sans" w:hAnsi="ATT Aleck Sans" w:cs="ATT Aleck Sans"/>
          <w:sz w:val="20"/>
          <w:szCs w:val="20"/>
        </w:rPr>
        <w:t xml:space="preserve">documentation (addressed below) </w:t>
      </w:r>
      <w:r>
        <w:rPr>
          <w:rFonts w:ascii="ATT Aleck Sans" w:hAnsi="ATT Aleck Sans" w:cs="ATT Aleck Sans"/>
          <w:sz w:val="20"/>
          <w:szCs w:val="20"/>
        </w:rPr>
        <w:t xml:space="preserve">from AESPs so that AT&amp;T can </w:t>
      </w:r>
      <w:r w:rsidR="00187E74">
        <w:rPr>
          <w:rFonts w:ascii="ATT Aleck Sans" w:hAnsi="ATT Aleck Sans" w:cs="ATT Aleck Sans"/>
          <w:sz w:val="20"/>
          <w:szCs w:val="20"/>
        </w:rPr>
        <w:t xml:space="preserve">assign project management resources to the migration.  AT&amp;T has established a dedicated email address </w:t>
      </w:r>
      <w:r w:rsidR="003B7054">
        <w:rPr>
          <w:rFonts w:ascii="ATT Aleck Sans" w:hAnsi="ATT Aleck Sans" w:cs="ATT Aleck Sans"/>
          <w:sz w:val="20"/>
          <w:szCs w:val="20"/>
        </w:rPr>
        <w:t xml:space="preserve">as the front door, </w:t>
      </w:r>
      <w:r w:rsidR="00F92C6A" w:rsidRPr="00E06959">
        <w:rPr>
          <w:rFonts w:ascii="ATT Aleck Sans" w:hAnsi="ATT Aleck Sans" w:cs="ATT Aleck Sans"/>
          <w:sz w:val="20"/>
          <w:szCs w:val="20"/>
        </w:rPr>
        <w:t xml:space="preserve">single point of entry for </w:t>
      </w:r>
      <w:r w:rsidR="00187E74">
        <w:rPr>
          <w:rFonts w:ascii="ATT Aleck Sans" w:hAnsi="ATT Aleck Sans" w:cs="ATT Aleck Sans"/>
          <w:sz w:val="20"/>
          <w:szCs w:val="20"/>
        </w:rPr>
        <w:t xml:space="preserve">all </w:t>
      </w:r>
      <w:r w:rsidR="00F92C6A" w:rsidRPr="00E06959">
        <w:rPr>
          <w:rFonts w:ascii="ATT Aleck Sans" w:hAnsi="ATT Aleck Sans" w:cs="ATT Aleck Sans"/>
          <w:sz w:val="20"/>
          <w:szCs w:val="20"/>
        </w:rPr>
        <w:t>AESP migration</w:t>
      </w:r>
      <w:r w:rsidR="003B7054">
        <w:rPr>
          <w:rFonts w:ascii="ATT Aleck Sans" w:hAnsi="ATT Aleck Sans" w:cs="ATT Aleck Sans"/>
          <w:sz w:val="20"/>
          <w:szCs w:val="20"/>
        </w:rPr>
        <w:t xml:space="preserve"> request</w:t>
      </w:r>
      <w:r w:rsidR="00F92C6A" w:rsidRPr="00E06959">
        <w:rPr>
          <w:rFonts w:ascii="ATT Aleck Sans" w:hAnsi="ATT Aleck Sans" w:cs="ATT Aleck Sans"/>
          <w:sz w:val="20"/>
          <w:szCs w:val="20"/>
        </w:rPr>
        <w:t>s</w:t>
      </w:r>
      <w:r w:rsidR="00784E81">
        <w:rPr>
          <w:rFonts w:ascii="ATT Aleck Sans" w:hAnsi="ATT Aleck Sans" w:cs="ATT Aleck Sans"/>
          <w:sz w:val="20"/>
          <w:szCs w:val="20"/>
        </w:rPr>
        <w:t xml:space="preserve">. </w:t>
      </w:r>
      <w:r w:rsidR="00F92C6A" w:rsidRPr="00E06959">
        <w:rPr>
          <w:rFonts w:ascii="ATT Aleck Sans" w:hAnsi="ATT Aleck Sans" w:cs="ATT Aleck Sans"/>
          <w:sz w:val="20"/>
          <w:szCs w:val="20"/>
        </w:rPr>
        <w:t xml:space="preserve"> </w:t>
      </w:r>
      <w:r w:rsidR="00187E74">
        <w:rPr>
          <w:rFonts w:ascii="ATT Aleck Sans" w:hAnsi="ATT Aleck Sans" w:cs="ATT Aleck Sans"/>
          <w:sz w:val="20"/>
          <w:szCs w:val="20"/>
        </w:rPr>
        <w:t>The dedicated email address is:</w:t>
      </w:r>
    </w:p>
    <w:p w14:paraId="7E43E7D9" w14:textId="0CFB7F9F" w:rsidR="00E56339" w:rsidRPr="00E06959" w:rsidRDefault="00E56339" w:rsidP="00F92C6A">
      <w:pPr>
        <w:jc w:val="both"/>
        <w:rPr>
          <w:rFonts w:ascii="ATT Aleck Sans" w:hAnsi="ATT Aleck Sans" w:cs="ATT Aleck Sans"/>
          <w:sz w:val="20"/>
          <w:szCs w:val="20"/>
        </w:rPr>
      </w:pPr>
    </w:p>
    <w:p w14:paraId="29459995" w14:textId="405B010B" w:rsidR="00F92C6A" w:rsidRPr="00E06959" w:rsidRDefault="00E56339" w:rsidP="00F92C6A">
      <w:pPr>
        <w:jc w:val="both"/>
        <w:rPr>
          <w:rFonts w:ascii="ATT Aleck Sans" w:hAnsi="ATT Aleck Sans" w:cs="ATT Aleck Sans"/>
          <w:sz w:val="20"/>
          <w:szCs w:val="20"/>
        </w:rPr>
      </w:pPr>
      <w:r w:rsidRPr="00B448D5">
        <w:rPr>
          <w:rFonts w:ascii="ATT Aleck Sans" w:hAnsi="ATT Aleck Sans" w:cs="ATT Aleck Sans"/>
          <w:sz w:val="20"/>
          <w:szCs w:val="20"/>
          <w:u w:val="single"/>
        </w:rPr>
        <w:t>Mailbox:</w:t>
      </w:r>
      <w:r w:rsidRPr="00E06959">
        <w:rPr>
          <w:rFonts w:ascii="ATT Aleck Sans" w:hAnsi="ATT Aleck Sans" w:cs="ATT Aleck Sans"/>
          <w:sz w:val="20"/>
          <w:szCs w:val="20"/>
        </w:rPr>
        <w:t xml:space="preserve">  </w:t>
      </w:r>
      <w:hyperlink r:id="rId8" w:history="1">
        <w:r w:rsidR="00F92C6A" w:rsidRPr="00E06959">
          <w:rPr>
            <w:rStyle w:val="Hyperlink"/>
            <w:rFonts w:ascii="ATT Aleck Sans" w:hAnsi="ATT Aleck Sans" w:cs="ATT Aleck Sans"/>
            <w:sz w:val="20"/>
            <w:szCs w:val="20"/>
          </w:rPr>
          <w:t>AESPMigrations@att.com</w:t>
        </w:r>
      </w:hyperlink>
    </w:p>
    <w:p w14:paraId="7B503625" w14:textId="3FA7039B" w:rsidR="00F92C6A" w:rsidRPr="00E56339" w:rsidRDefault="00F92C6A" w:rsidP="00F92C6A">
      <w:pPr>
        <w:jc w:val="both"/>
        <w:rPr>
          <w:rFonts w:ascii="ATT Aleck Sans" w:hAnsi="ATT Aleck Sans" w:cs="ATT Aleck Sans"/>
          <w:sz w:val="22"/>
          <w:szCs w:val="22"/>
        </w:rPr>
      </w:pPr>
    </w:p>
    <w:p w14:paraId="433EA975" w14:textId="7D59DF19" w:rsidR="00E56339" w:rsidRPr="00E56339" w:rsidRDefault="00E56339" w:rsidP="00E56339">
      <w:pPr>
        <w:jc w:val="both"/>
        <w:rPr>
          <w:rFonts w:ascii="ATT Aleck Sans" w:hAnsi="ATT Aleck Sans" w:cs="ATT Aleck Sans"/>
          <w:b/>
          <w:bCs/>
          <w:color w:val="0070C0"/>
          <w:sz w:val="22"/>
          <w:szCs w:val="22"/>
        </w:rPr>
      </w:pPr>
      <w:r>
        <w:rPr>
          <w:rFonts w:ascii="ATT Aleck Sans" w:hAnsi="ATT Aleck Sans" w:cs="ATT Aleck Sans"/>
          <w:b/>
          <w:bCs/>
          <w:color w:val="0070C0"/>
          <w:sz w:val="22"/>
          <w:szCs w:val="22"/>
        </w:rPr>
        <w:t xml:space="preserve">Required Documentation </w:t>
      </w:r>
    </w:p>
    <w:p w14:paraId="48CC4C73" w14:textId="37D9A211" w:rsidR="00E56339" w:rsidRPr="00A27E71" w:rsidRDefault="00E56339" w:rsidP="00E56339">
      <w:pPr>
        <w:pStyle w:val="ListParagraph"/>
        <w:numPr>
          <w:ilvl w:val="0"/>
          <w:numId w:val="23"/>
        </w:numPr>
        <w:jc w:val="both"/>
        <w:rPr>
          <w:rFonts w:ascii="ATT Aleck Sans" w:hAnsi="ATT Aleck Sans" w:cs="ATT Aleck Sans"/>
          <w:i/>
          <w:iCs/>
          <w:color w:val="0568AE" w:themeColor="accent4"/>
          <w:sz w:val="20"/>
          <w:szCs w:val="20"/>
        </w:rPr>
      </w:pPr>
      <w:r w:rsidRPr="00A27E71">
        <w:rPr>
          <w:rFonts w:ascii="ATT Aleck Sans" w:hAnsi="ATT Aleck Sans" w:cs="ATT Aleck Sans"/>
          <w:i/>
          <w:iCs/>
          <w:color w:val="0568AE" w:themeColor="accent4"/>
          <w:sz w:val="20"/>
          <w:szCs w:val="20"/>
        </w:rPr>
        <w:t>AESP Carrier Change Notification Letter</w:t>
      </w:r>
      <w:r w:rsidR="00E06959" w:rsidRPr="00A27E71">
        <w:rPr>
          <w:rFonts w:ascii="ATT Aleck Sans" w:hAnsi="ATT Aleck Sans" w:cs="ATT Aleck Sans"/>
          <w:i/>
          <w:iCs/>
          <w:color w:val="0568AE" w:themeColor="accent4"/>
          <w:sz w:val="20"/>
          <w:szCs w:val="20"/>
        </w:rPr>
        <w:t xml:space="preserve"> (CCN)</w:t>
      </w:r>
    </w:p>
    <w:p w14:paraId="1F20BB9A" w14:textId="4CDDA3A6" w:rsidR="00E56339" w:rsidRPr="00E06959" w:rsidRDefault="00E56339" w:rsidP="00E56339">
      <w:pPr>
        <w:pStyle w:val="ListParagraph"/>
        <w:numPr>
          <w:ilvl w:val="1"/>
          <w:numId w:val="23"/>
        </w:numPr>
        <w:jc w:val="both"/>
        <w:rPr>
          <w:rFonts w:ascii="ATT Aleck Sans" w:hAnsi="ATT Aleck Sans" w:cs="ATT Aleck Sans"/>
          <w:sz w:val="20"/>
          <w:szCs w:val="20"/>
        </w:rPr>
      </w:pPr>
      <w:r w:rsidRPr="00E06959">
        <w:rPr>
          <w:rFonts w:ascii="ATT Aleck Sans" w:hAnsi="ATT Aleck Sans" w:cs="ATT Aleck Sans"/>
          <w:sz w:val="20"/>
          <w:szCs w:val="20"/>
        </w:rPr>
        <w:t>Industry-standard notification of network change</w:t>
      </w:r>
      <w:r w:rsidR="00A86D2C">
        <w:rPr>
          <w:rFonts w:ascii="ATT Aleck Sans" w:hAnsi="ATT Aleck Sans" w:cs="ATT Aleck Sans"/>
          <w:sz w:val="20"/>
          <w:szCs w:val="20"/>
        </w:rPr>
        <w:t xml:space="preserve">.  This is an AESP-created document </w:t>
      </w:r>
      <w:r w:rsidRPr="00E06959">
        <w:rPr>
          <w:rFonts w:ascii="ATT Aleck Sans" w:hAnsi="ATT Aleck Sans" w:cs="ATT Aleck Sans"/>
          <w:sz w:val="20"/>
          <w:szCs w:val="20"/>
        </w:rPr>
        <w:t xml:space="preserve">that lists impacted jurisdiction(s), services changing, AESP Single Point of Contact, </w:t>
      </w:r>
      <w:r w:rsidR="00A86D2C">
        <w:rPr>
          <w:rFonts w:ascii="ATT Aleck Sans" w:hAnsi="ATT Aleck Sans" w:cs="ATT Aleck Sans"/>
          <w:sz w:val="20"/>
          <w:szCs w:val="20"/>
        </w:rPr>
        <w:t xml:space="preserve">and </w:t>
      </w:r>
      <w:r w:rsidRPr="00E06959">
        <w:rPr>
          <w:rFonts w:ascii="ATT Aleck Sans" w:hAnsi="ATT Aleck Sans" w:cs="ATT Aleck Sans"/>
          <w:sz w:val="20"/>
          <w:szCs w:val="20"/>
        </w:rPr>
        <w:t xml:space="preserve">estimated timeframe for migration </w:t>
      </w:r>
    </w:p>
    <w:p w14:paraId="2FD7A1E5" w14:textId="060822CD" w:rsidR="00E56339" w:rsidRPr="00A27E71" w:rsidRDefault="00E56339" w:rsidP="00E56339">
      <w:pPr>
        <w:pStyle w:val="ListParagraph"/>
        <w:numPr>
          <w:ilvl w:val="0"/>
          <w:numId w:val="23"/>
        </w:numPr>
        <w:jc w:val="both"/>
        <w:rPr>
          <w:rFonts w:ascii="ATT Aleck Sans" w:hAnsi="ATT Aleck Sans" w:cs="ATT Aleck Sans"/>
          <w:i/>
          <w:iCs/>
          <w:color w:val="0568AE" w:themeColor="accent4"/>
          <w:sz w:val="20"/>
          <w:szCs w:val="20"/>
        </w:rPr>
      </w:pPr>
      <w:r w:rsidRPr="00A27E71">
        <w:rPr>
          <w:rFonts w:ascii="ATT Aleck Sans" w:hAnsi="ATT Aleck Sans" w:cs="ATT Aleck Sans"/>
          <w:color w:val="0568AE" w:themeColor="accent4"/>
          <w:sz w:val="20"/>
          <w:szCs w:val="20"/>
        </w:rPr>
        <w:t xml:space="preserve"> </w:t>
      </w:r>
      <w:r w:rsidR="009A17E1" w:rsidRPr="00A27E71">
        <w:rPr>
          <w:rFonts w:ascii="ATT Aleck Sans" w:hAnsi="ATT Aleck Sans" w:cs="ATT Aleck Sans"/>
          <w:i/>
          <w:iCs/>
          <w:color w:val="0568AE" w:themeColor="accent4"/>
          <w:sz w:val="20"/>
          <w:szCs w:val="20"/>
        </w:rPr>
        <w:t>9-1-1</w:t>
      </w:r>
      <w:r w:rsidR="00E06959" w:rsidRPr="00A27E71">
        <w:rPr>
          <w:rFonts w:ascii="ATT Aleck Sans" w:hAnsi="ATT Aleck Sans" w:cs="ATT Aleck Sans"/>
          <w:i/>
          <w:iCs/>
          <w:color w:val="0568AE" w:themeColor="accent4"/>
          <w:sz w:val="20"/>
          <w:szCs w:val="20"/>
        </w:rPr>
        <w:t xml:space="preserve"> Authority Letter of Authorization (LOA)</w:t>
      </w:r>
    </w:p>
    <w:p w14:paraId="67B7A1B1" w14:textId="62BF73B3" w:rsidR="00E06959" w:rsidRPr="00E06959" w:rsidRDefault="00A86D2C" w:rsidP="00E06959">
      <w:pPr>
        <w:pStyle w:val="ListParagraph"/>
        <w:numPr>
          <w:ilvl w:val="1"/>
          <w:numId w:val="23"/>
        </w:numPr>
        <w:jc w:val="both"/>
        <w:rPr>
          <w:rFonts w:ascii="ATT Aleck Sans" w:hAnsi="ATT Aleck Sans" w:cs="ATT Aleck Sans"/>
          <w:sz w:val="20"/>
          <w:szCs w:val="20"/>
        </w:rPr>
      </w:pPr>
      <w:r>
        <w:rPr>
          <w:rFonts w:ascii="ATT Aleck Sans" w:hAnsi="ATT Aleck Sans" w:cs="ATT Aleck Sans"/>
          <w:sz w:val="20"/>
          <w:szCs w:val="20"/>
        </w:rPr>
        <w:t xml:space="preserve">This document is created by the </w:t>
      </w:r>
      <w:r w:rsidR="009A17E1">
        <w:rPr>
          <w:rFonts w:ascii="ATT Aleck Sans" w:hAnsi="ATT Aleck Sans" w:cs="ATT Aleck Sans"/>
          <w:sz w:val="20"/>
          <w:szCs w:val="20"/>
        </w:rPr>
        <w:t>9-1-1</w:t>
      </w:r>
      <w:r w:rsidR="00E06959" w:rsidRPr="00E06959">
        <w:rPr>
          <w:rFonts w:ascii="ATT Aleck Sans" w:hAnsi="ATT Aleck Sans" w:cs="ATT Aleck Sans"/>
          <w:sz w:val="20"/>
          <w:szCs w:val="20"/>
        </w:rPr>
        <w:t xml:space="preserve"> Authority </w:t>
      </w:r>
      <w:r w:rsidR="00D638F5">
        <w:rPr>
          <w:rFonts w:ascii="ATT Aleck Sans" w:hAnsi="ATT Aleck Sans" w:cs="ATT Aleck Sans"/>
          <w:sz w:val="20"/>
          <w:szCs w:val="20"/>
        </w:rPr>
        <w:t>announcing its</w:t>
      </w:r>
      <w:r>
        <w:rPr>
          <w:rFonts w:ascii="ATT Aleck Sans" w:hAnsi="ATT Aleck Sans" w:cs="ATT Aleck Sans"/>
          <w:sz w:val="20"/>
          <w:szCs w:val="20"/>
        </w:rPr>
        <w:t xml:space="preserve"> designat</w:t>
      </w:r>
      <w:r w:rsidR="00D638F5">
        <w:rPr>
          <w:rFonts w:ascii="ATT Aleck Sans" w:hAnsi="ATT Aleck Sans" w:cs="ATT Aleck Sans"/>
          <w:sz w:val="20"/>
          <w:szCs w:val="20"/>
        </w:rPr>
        <w:t xml:space="preserve">ion of </w:t>
      </w:r>
      <w:r>
        <w:rPr>
          <w:rFonts w:ascii="ATT Aleck Sans" w:hAnsi="ATT Aleck Sans" w:cs="ATT Aleck Sans"/>
          <w:sz w:val="20"/>
          <w:szCs w:val="20"/>
        </w:rPr>
        <w:t xml:space="preserve">AESP </w:t>
      </w:r>
      <w:r w:rsidR="006E6820">
        <w:rPr>
          <w:rFonts w:ascii="ATT Aleck Sans" w:hAnsi="ATT Aleck Sans" w:cs="ATT Aleck Sans"/>
          <w:sz w:val="20"/>
          <w:szCs w:val="20"/>
        </w:rPr>
        <w:t xml:space="preserve">as </w:t>
      </w:r>
      <w:r w:rsidR="005E5C53">
        <w:rPr>
          <w:rFonts w:ascii="ATT Aleck Sans" w:hAnsi="ATT Aleck Sans" w:cs="ATT Aleck Sans"/>
          <w:sz w:val="20"/>
          <w:szCs w:val="20"/>
        </w:rPr>
        <w:t>the</w:t>
      </w:r>
      <w:r>
        <w:rPr>
          <w:rFonts w:ascii="ATT Aleck Sans" w:hAnsi="ATT Aleck Sans" w:cs="ATT Aleck Sans"/>
          <w:sz w:val="20"/>
          <w:szCs w:val="20"/>
        </w:rPr>
        <w:t xml:space="preserve"> new </w:t>
      </w:r>
      <w:r w:rsidR="009A17E1">
        <w:rPr>
          <w:rFonts w:ascii="ATT Aleck Sans" w:hAnsi="ATT Aleck Sans" w:cs="ATT Aleck Sans"/>
          <w:sz w:val="20"/>
          <w:szCs w:val="20"/>
        </w:rPr>
        <w:t>9-1-1</w:t>
      </w:r>
      <w:r>
        <w:rPr>
          <w:rFonts w:ascii="ATT Aleck Sans" w:hAnsi="ATT Aleck Sans" w:cs="ATT Aleck Sans"/>
          <w:sz w:val="20"/>
          <w:szCs w:val="20"/>
        </w:rPr>
        <w:t xml:space="preserve"> service provider.  This document </w:t>
      </w:r>
      <w:r w:rsidR="00E06959" w:rsidRPr="00E06959">
        <w:rPr>
          <w:rFonts w:ascii="ATT Aleck Sans" w:hAnsi="ATT Aleck Sans" w:cs="ATT Aleck Sans"/>
          <w:sz w:val="20"/>
          <w:szCs w:val="20"/>
        </w:rPr>
        <w:t xml:space="preserve">authorizes AESP to act on </w:t>
      </w:r>
      <w:r>
        <w:rPr>
          <w:rFonts w:ascii="ATT Aleck Sans" w:hAnsi="ATT Aleck Sans" w:cs="ATT Aleck Sans"/>
          <w:sz w:val="20"/>
          <w:szCs w:val="20"/>
        </w:rPr>
        <w:t xml:space="preserve">the </w:t>
      </w:r>
      <w:r w:rsidR="009A17E1">
        <w:rPr>
          <w:rFonts w:ascii="ATT Aleck Sans" w:hAnsi="ATT Aleck Sans" w:cs="ATT Aleck Sans"/>
          <w:sz w:val="20"/>
          <w:szCs w:val="20"/>
        </w:rPr>
        <w:t>9-1-1</w:t>
      </w:r>
      <w:r>
        <w:rPr>
          <w:rFonts w:ascii="ATT Aleck Sans" w:hAnsi="ATT Aleck Sans" w:cs="ATT Aleck Sans"/>
          <w:sz w:val="20"/>
          <w:szCs w:val="20"/>
        </w:rPr>
        <w:t xml:space="preserve"> Authority’s </w:t>
      </w:r>
      <w:r w:rsidR="00E06959" w:rsidRPr="00E06959">
        <w:rPr>
          <w:rFonts w:ascii="ATT Aleck Sans" w:hAnsi="ATT Aleck Sans" w:cs="ATT Aleck Sans"/>
          <w:sz w:val="20"/>
          <w:szCs w:val="20"/>
        </w:rPr>
        <w:t>behalf and provides</w:t>
      </w:r>
      <w:r w:rsidR="00784E81">
        <w:rPr>
          <w:rFonts w:ascii="ATT Aleck Sans" w:hAnsi="ATT Aleck Sans" w:cs="ATT Aleck Sans"/>
          <w:sz w:val="20"/>
          <w:szCs w:val="20"/>
        </w:rPr>
        <w:t xml:space="preserve"> signed</w:t>
      </w:r>
      <w:r w:rsidR="00E06959" w:rsidRPr="00E06959">
        <w:rPr>
          <w:rFonts w:ascii="ATT Aleck Sans" w:hAnsi="ATT Aleck Sans" w:cs="ATT Aleck Sans"/>
          <w:sz w:val="20"/>
          <w:szCs w:val="20"/>
        </w:rPr>
        <w:t xml:space="preserve"> authorization for OSPs</w:t>
      </w:r>
      <w:r>
        <w:rPr>
          <w:rFonts w:ascii="ATT Aleck Sans" w:hAnsi="ATT Aleck Sans" w:cs="ATT Aleck Sans"/>
          <w:sz w:val="20"/>
          <w:szCs w:val="20"/>
        </w:rPr>
        <w:t xml:space="preserve">, including AT&amp;T, </w:t>
      </w:r>
      <w:r w:rsidR="00E06959" w:rsidRPr="00E06959">
        <w:rPr>
          <w:rFonts w:ascii="ATT Aleck Sans" w:hAnsi="ATT Aleck Sans" w:cs="ATT Aleck Sans"/>
          <w:sz w:val="20"/>
          <w:szCs w:val="20"/>
        </w:rPr>
        <w:t xml:space="preserve">to share network details with AESP as appropriate </w:t>
      </w:r>
    </w:p>
    <w:p w14:paraId="0FB918BA" w14:textId="43FC8B16" w:rsidR="00E06959" w:rsidRPr="00A27E71" w:rsidRDefault="00E06959" w:rsidP="00E06959">
      <w:pPr>
        <w:pStyle w:val="ListParagraph"/>
        <w:numPr>
          <w:ilvl w:val="0"/>
          <w:numId w:val="23"/>
        </w:numPr>
        <w:jc w:val="both"/>
        <w:rPr>
          <w:rFonts w:ascii="ATT Aleck Sans" w:hAnsi="ATT Aleck Sans" w:cs="ATT Aleck Sans"/>
          <w:i/>
          <w:iCs/>
          <w:color w:val="0568AE" w:themeColor="accent4"/>
          <w:sz w:val="20"/>
          <w:szCs w:val="20"/>
        </w:rPr>
      </w:pPr>
      <w:r w:rsidRPr="00A27E71">
        <w:rPr>
          <w:rFonts w:ascii="ATT Aleck Sans" w:hAnsi="ATT Aleck Sans" w:cs="ATT Aleck Sans"/>
          <w:i/>
          <w:iCs/>
          <w:color w:val="0568AE" w:themeColor="accent4"/>
          <w:sz w:val="20"/>
          <w:szCs w:val="20"/>
        </w:rPr>
        <w:t xml:space="preserve">AT&amp;T Network Transition Planning Form &amp; Network Diagram </w:t>
      </w:r>
    </w:p>
    <w:p w14:paraId="5C458A02" w14:textId="45AC3E3B" w:rsidR="00E06959" w:rsidRDefault="00A86D2C">
      <w:pPr>
        <w:pStyle w:val="ListParagraph"/>
        <w:numPr>
          <w:ilvl w:val="1"/>
          <w:numId w:val="23"/>
        </w:numPr>
        <w:jc w:val="both"/>
        <w:rPr>
          <w:rFonts w:ascii="ATT Aleck Sans" w:hAnsi="ATT Aleck Sans" w:cs="ATT Aleck Sans"/>
          <w:sz w:val="20"/>
          <w:szCs w:val="20"/>
        </w:rPr>
      </w:pPr>
      <w:r>
        <w:rPr>
          <w:rFonts w:ascii="ATT Aleck Sans" w:hAnsi="ATT Aleck Sans" w:cs="ATT Aleck Sans"/>
          <w:sz w:val="20"/>
          <w:szCs w:val="20"/>
        </w:rPr>
        <w:t>Th</w:t>
      </w:r>
      <w:r w:rsidR="00D638F5">
        <w:rPr>
          <w:rFonts w:ascii="ATT Aleck Sans" w:hAnsi="ATT Aleck Sans" w:cs="ATT Aleck Sans"/>
          <w:sz w:val="20"/>
          <w:szCs w:val="20"/>
        </w:rPr>
        <w:t>is</w:t>
      </w:r>
      <w:r w:rsidR="00F525E7">
        <w:rPr>
          <w:rFonts w:ascii="ATT Aleck Sans" w:hAnsi="ATT Aleck Sans" w:cs="ATT Aleck Sans"/>
          <w:sz w:val="20"/>
          <w:szCs w:val="20"/>
        </w:rPr>
        <w:t xml:space="preserve"> </w:t>
      </w:r>
      <w:r w:rsidR="00D638F5">
        <w:rPr>
          <w:rFonts w:ascii="ATT Aleck Sans" w:hAnsi="ATT Aleck Sans" w:cs="ATT Aleck Sans"/>
          <w:sz w:val="20"/>
          <w:szCs w:val="20"/>
        </w:rPr>
        <w:t xml:space="preserve">AT&amp;T </w:t>
      </w:r>
      <w:r>
        <w:rPr>
          <w:rFonts w:ascii="ATT Aleck Sans" w:hAnsi="ATT Aleck Sans" w:cs="ATT Aleck Sans"/>
          <w:sz w:val="20"/>
          <w:szCs w:val="20"/>
        </w:rPr>
        <w:t xml:space="preserve">planning form </w:t>
      </w:r>
      <w:r w:rsidR="00F525E7">
        <w:rPr>
          <w:rFonts w:ascii="ATT Aleck Sans" w:hAnsi="ATT Aleck Sans" w:cs="ATT Aleck Sans"/>
          <w:sz w:val="20"/>
          <w:szCs w:val="20"/>
        </w:rPr>
        <w:t>standardize</w:t>
      </w:r>
      <w:r w:rsidR="00D638F5">
        <w:rPr>
          <w:rFonts w:ascii="ATT Aleck Sans" w:hAnsi="ATT Aleck Sans" w:cs="ATT Aleck Sans"/>
          <w:sz w:val="20"/>
          <w:szCs w:val="20"/>
        </w:rPr>
        <w:t>s</w:t>
      </w:r>
      <w:r w:rsidR="001C0929">
        <w:rPr>
          <w:rFonts w:ascii="ATT Aleck Sans" w:hAnsi="ATT Aleck Sans" w:cs="ATT Aleck Sans"/>
          <w:sz w:val="20"/>
          <w:szCs w:val="20"/>
        </w:rPr>
        <w:t xml:space="preserve"> </w:t>
      </w:r>
      <w:r w:rsidR="00F525E7">
        <w:rPr>
          <w:rFonts w:ascii="ATT Aleck Sans" w:hAnsi="ATT Aleck Sans" w:cs="ATT Aleck Sans"/>
          <w:sz w:val="20"/>
          <w:szCs w:val="20"/>
        </w:rPr>
        <w:t xml:space="preserve">the information AT&amp;T needs to develop its project planning.  This form is </w:t>
      </w:r>
      <w:r>
        <w:rPr>
          <w:rFonts w:ascii="ATT Aleck Sans" w:hAnsi="ATT Aleck Sans" w:cs="ATT Aleck Sans"/>
          <w:sz w:val="20"/>
          <w:szCs w:val="20"/>
        </w:rPr>
        <w:t xml:space="preserve">available from both </w:t>
      </w:r>
      <w:r w:rsidR="001C0929">
        <w:rPr>
          <w:rFonts w:ascii="ATT Aleck Sans" w:hAnsi="ATT Aleck Sans" w:cs="ATT Aleck Sans"/>
          <w:sz w:val="20"/>
          <w:szCs w:val="20"/>
        </w:rPr>
        <w:t>AT</w:t>
      </w:r>
      <w:r w:rsidR="00A27E71">
        <w:rPr>
          <w:rFonts w:ascii="ATT Aleck Sans" w:hAnsi="ATT Aleck Sans" w:cs="ATT Aleck Sans"/>
          <w:sz w:val="20"/>
          <w:szCs w:val="20"/>
        </w:rPr>
        <w:t>&amp;</w:t>
      </w:r>
      <w:r w:rsidR="001C0929">
        <w:rPr>
          <w:rFonts w:ascii="ATT Aleck Sans" w:hAnsi="ATT Aleck Sans" w:cs="ATT Aleck Sans"/>
          <w:sz w:val="20"/>
          <w:szCs w:val="20"/>
        </w:rPr>
        <w:t xml:space="preserve">T </w:t>
      </w:r>
      <w:r w:rsidR="00E06959">
        <w:rPr>
          <w:rFonts w:ascii="ATT Aleck Sans" w:hAnsi="ATT Aleck Sans" w:cs="ATT Aleck Sans"/>
          <w:sz w:val="20"/>
          <w:szCs w:val="20"/>
        </w:rPr>
        <w:t xml:space="preserve">CLEC Online </w:t>
      </w:r>
      <w:r>
        <w:rPr>
          <w:rFonts w:ascii="ATT Aleck Sans" w:hAnsi="ATT Aleck Sans" w:cs="ATT Aleck Sans"/>
          <w:sz w:val="20"/>
          <w:szCs w:val="20"/>
        </w:rPr>
        <w:t xml:space="preserve">and </w:t>
      </w:r>
      <w:r w:rsidR="001C0929">
        <w:rPr>
          <w:rFonts w:ascii="ATT Aleck Sans" w:hAnsi="ATT Aleck Sans" w:cs="ATT Aleck Sans"/>
          <w:sz w:val="20"/>
          <w:szCs w:val="20"/>
        </w:rPr>
        <w:t xml:space="preserve">AT&amp;T </w:t>
      </w:r>
      <w:r w:rsidR="00E06959">
        <w:rPr>
          <w:rFonts w:ascii="ATT Aleck Sans" w:hAnsi="ATT Aleck Sans" w:cs="ATT Aleck Sans"/>
          <w:sz w:val="20"/>
          <w:szCs w:val="20"/>
        </w:rPr>
        <w:t>Prime Access</w:t>
      </w:r>
      <w:r>
        <w:rPr>
          <w:rFonts w:ascii="ATT Aleck Sans" w:hAnsi="ATT Aleck Sans" w:cs="ATT Aleck Sans"/>
          <w:sz w:val="20"/>
          <w:szCs w:val="20"/>
        </w:rPr>
        <w:t xml:space="preserve">.  </w:t>
      </w:r>
      <w:r w:rsidR="00F525E7">
        <w:rPr>
          <w:rFonts w:ascii="ATT Aleck Sans" w:hAnsi="ATT Aleck Sans" w:cs="ATT Aleck Sans"/>
          <w:sz w:val="20"/>
          <w:szCs w:val="20"/>
        </w:rPr>
        <w:t>Please note that th</w:t>
      </w:r>
      <w:r w:rsidR="00966E31">
        <w:rPr>
          <w:rFonts w:ascii="ATT Aleck Sans" w:hAnsi="ATT Aleck Sans" w:cs="ATT Aleck Sans"/>
          <w:sz w:val="20"/>
          <w:szCs w:val="20"/>
        </w:rPr>
        <w:t>is</w:t>
      </w:r>
      <w:r w:rsidR="00F525E7">
        <w:rPr>
          <w:rFonts w:ascii="ATT Aleck Sans" w:hAnsi="ATT Aleck Sans" w:cs="ATT Aleck Sans"/>
          <w:sz w:val="20"/>
          <w:szCs w:val="20"/>
        </w:rPr>
        <w:t xml:space="preserve"> document also includes a request for a</w:t>
      </w:r>
      <w:r w:rsidR="00966E31">
        <w:rPr>
          <w:rFonts w:ascii="ATT Aleck Sans" w:hAnsi="ATT Aleck Sans" w:cs="ATT Aleck Sans"/>
          <w:sz w:val="20"/>
          <w:szCs w:val="20"/>
        </w:rPr>
        <w:t>n AESP-created</w:t>
      </w:r>
      <w:r w:rsidR="00F525E7">
        <w:rPr>
          <w:rFonts w:ascii="ATT Aleck Sans" w:hAnsi="ATT Aleck Sans" w:cs="ATT Aleck Sans"/>
          <w:sz w:val="20"/>
          <w:szCs w:val="20"/>
        </w:rPr>
        <w:t xml:space="preserve"> network diagram</w:t>
      </w:r>
      <w:r w:rsidR="00966E31">
        <w:rPr>
          <w:rFonts w:ascii="ATT Aleck Sans" w:hAnsi="ATT Aleck Sans" w:cs="ATT Aleck Sans"/>
          <w:sz w:val="20"/>
          <w:szCs w:val="20"/>
        </w:rPr>
        <w:t xml:space="preserve"> that</w:t>
      </w:r>
      <w:r w:rsidR="00F525E7">
        <w:rPr>
          <w:rFonts w:ascii="ATT Aleck Sans" w:hAnsi="ATT Aleck Sans" w:cs="ATT Aleck Sans"/>
          <w:sz w:val="20"/>
          <w:szCs w:val="20"/>
        </w:rPr>
        <w:t xml:space="preserve"> is </w:t>
      </w:r>
      <w:r w:rsidR="00966E31">
        <w:rPr>
          <w:rFonts w:ascii="ATT Aleck Sans" w:hAnsi="ATT Aleck Sans" w:cs="ATT Aleck Sans"/>
          <w:sz w:val="20"/>
          <w:szCs w:val="20"/>
        </w:rPr>
        <w:t xml:space="preserve">unique for each </w:t>
      </w:r>
      <w:r w:rsidR="00F525E7">
        <w:rPr>
          <w:rFonts w:ascii="ATT Aleck Sans" w:hAnsi="ATT Aleck Sans" w:cs="ATT Aleck Sans"/>
          <w:sz w:val="20"/>
          <w:szCs w:val="20"/>
        </w:rPr>
        <w:t>AESP show</w:t>
      </w:r>
      <w:r w:rsidR="00966E31">
        <w:rPr>
          <w:rFonts w:ascii="ATT Aleck Sans" w:hAnsi="ATT Aleck Sans" w:cs="ATT Aleck Sans"/>
          <w:sz w:val="20"/>
          <w:szCs w:val="20"/>
        </w:rPr>
        <w:t>ing</w:t>
      </w:r>
      <w:r w:rsidR="00F525E7">
        <w:rPr>
          <w:rFonts w:ascii="ATT Aleck Sans" w:hAnsi="ATT Aleck Sans" w:cs="ATT Aleck Sans"/>
          <w:sz w:val="20"/>
          <w:szCs w:val="20"/>
        </w:rPr>
        <w:t xml:space="preserve"> the AESP-to-AT&amp;T network design AESP is requesting.  If AESP is implementing its migration in phases, AESP should provide </w:t>
      </w:r>
      <w:r w:rsidR="00966E31">
        <w:rPr>
          <w:rFonts w:ascii="ATT Aleck Sans" w:hAnsi="ATT Aleck Sans" w:cs="ATT Aleck Sans"/>
          <w:sz w:val="20"/>
          <w:szCs w:val="20"/>
        </w:rPr>
        <w:t>the</w:t>
      </w:r>
      <w:r w:rsidR="00F525E7">
        <w:rPr>
          <w:rFonts w:ascii="ATT Aleck Sans" w:hAnsi="ATT Aleck Sans" w:cs="ATT Aleck Sans"/>
          <w:sz w:val="20"/>
          <w:szCs w:val="20"/>
        </w:rPr>
        <w:t xml:space="preserve"> </w:t>
      </w:r>
      <w:r w:rsidR="00966E31">
        <w:rPr>
          <w:rFonts w:ascii="ATT Aleck Sans" w:hAnsi="ATT Aleck Sans" w:cs="ATT Aleck Sans"/>
          <w:sz w:val="20"/>
          <w:szCs w:val="20"/>
        </w:rPr>
        <w:t xml:space="preserve">planned timeline and </w:t>
      </w:r>
      <w:r w:rsidR="00F525E7">
        <w:rPr>
          <w:rFonts w:ascii="ATT Aleck Sans" w:hAnsi="ATT Aleck Sans" w:cs="ATT Aleck Sans"/>
          <w:sz w:val="20"/>
          <w:szCs w:val="20"/>
        </w:rPr>
        <w:t>network design for each phase.</w:t>
      </w:r>
    </w:p>
    <w:p w14:paraId="27889FD3" w14:textId="77777777" w:rsidR="009A17E1" w:rsidRDefault="009A17E1" w:rsidP="009A17E1">
      <w:pPr>
        <w:ind w:left="360"/>
        <w:jc w:val="both"/>
        <w:rPr>
          <w:rFonts w:ascii="ATT Aleck Sans" w:hAnsi="ATT Aleck Sans" w:cs="ATT Aleck Sans"/>
          <w:sz w:val="20"/>
          <w:szCs w:val="20"/>
        </w:rPr>
      </w:pPr>
    </w:p>
    <w:p w14:paraId="1191D794" w14:textId="0ADB2C4D" w:rsidR="009A17E1" w:rsidRPr="00A27E71" w:rsidRDefault="001C0929" w:rsidP="00A27E71">
      <w:pPr>
        <w:pStyle w:val="ListParagraph"/>
        <w:numPr>
          <w:ilvl w:val="0"/>
          <w:numId w:val="23"/>
        </w:numPr>
        <w:jc w:val="both"/>
        <w:rPr>
          <w:rFonts w:ascii="ATT Aleck Sans" w:eastAsiaTheme="minorEastAsia" w:hAnsi="ATT Aleck Sans" w:cs="ATT Aleck Sans"/>
          <w:sz w:val="20"/>
          <w:szCs w:val="20"/>
        </w:rPr>
      </w:pPr>
      <w:r>
        <w:rPr>
          <w:rFonts w:ascii="ATT Aleck Sans" w:hAnsi="ATT Aleck Sans" w:cs="ATT Aleck Sans"/>
          <w:sz w:val="20"/>
          <w:szCs w:val="20"/>
        </w:rPr>
        <w:t xml:space="preserve">In addition to the above documents, AESP and </w:t>
      </w:r>
      <w:r w:rsidR="009A17E1" w:rsidRPr="00A27E71">
        <w:rPr>
          <w:rFonts w:ascii="ATT Aleck Sans" w:hAnsi="ATT Aleck Sans" w:cs="ATT Aleck Sans"/>
          <w:sz w:val="20"/>
          <w:szCs w:val="20"/>
        </w:rPr>
        <w:t xml:space="preserve">AT&amp;T </w:t>
      </w:r>
      <w:r>
        <w:rPr>
          <w:rFonts w:ascii="ATT Aleck Sans" w:hAnsi="ATT Aleck Sans" w:cs="ATT Aleck Sans"/>
          <w:sz w:val="20"/>
          <w:szCs w:val="20"/>
        </w:rPr>
        <w:t xml:space="preserve">must agree to the business </w:t>
      </w:r>
      <w:r w:rsidR="00E17009">
        <w:rPr>
          <w:rFonts w:ascii="ATT Aleck Sans" w:hAnsi="ATT Aleck Sans" w:cs="ATT Aleck Sans"/>
          <w:sz w:val="20"/>
          <w:szCs w:val="20"/>
        </w:rPr>
        <w:t xml:space="preserve">and network connection </w:t>
      </w:r>
      <w:r>
        <w:rPr>
          <w:rFonts w:ascii="ATT Aleck Sans" w:hAnsi="ATT Aleck Sans" w:cs="ATT Aleck Sans"/>
          <w:sz w:val="20"/>
          <w:szCs w:val="20"/>
        </w:rPr>
        <w:t xml:space="preserve">rules under which they will operate.  AT&amp;T prefers a commercially-negotiated agreement and AESP should contact AT&amp;T’s Contract Negotiation team at </w:t>
      </w:r>
      <w:hyperlink r:id="rId9" w:history="1">
        <w:r w:rsidRPr="00523D50">
          <w:rPr>
            <w:rStyle w:val="Hyperlink"/>
            <w:rFonts w:ascii="ATT Aleck Sans" w:hAnsi="ATT Aleck Sans" w:cs="ATT Aleck Sans"/>
            <w:sz w:val="20"/>
            <w:szCs w:val="20"/>
          </w:rPr>
          <w:t>m41654@att.com</w:t>
        </w:r>
      </w:hyperlink>
      <w:r w:rsidRPr="00A27E71">
        <w:rPr>
          <w:rStyle w:val="Hyperlink"/>
          <w:rFonts w:ascii="ATT Aleck Sans" w:hAnsi="ATT Aleck Sans" w:cs="ATT Aleck Sans"/>
          <w:color w:val="auto"/>
          <w:sz w:val="20"/>
          <w:szCs w:val="20"/>
        </w:rPr>
        <w:t xml:space="preserve"> to </w:t>
      </w:r>
      <w:r>
        <w:rPr>
          <w:rStyle w:val="Hyperlink"/>
          <w:rFonts w:ascii="ATT Aleck Sans" w:hAnsi="ATT Aleck Sans" w:cs="ATT Aleck Sans"/>
          <w:color w:val="auto"/>
          <w:sz w:val="20"/>
          <w:szCs w:val="20"/>
        </w:rPr>
        <w:t>begin negotiations.</w:t>
      </w:r>
    </w:p>
    <w:p w14:paraId="6785AD49" w14:textId="77777777" w:rsidR="001C0929" w:rsidRDefault="001C0929">
      <w:pPr>
        <w:rPr>
          <w:rFonts w:ascii="ATT Aleck Sans" w:hAnsi="ATT Aleck Sans" w:cs="ATT Aleck Sans"/>
          <w:b/>
          <w:bCs/>
          <w:color w:val="0070C0"/>
          <w:sz w:val="22"/>
          <w:szCs w:val="22"/>
        </w:rPr>
      </w:pPr>
      <w:r>
        <w:rPr>
          <w:rFonts w:ascii="ATT Aleck Sans" w:hAnsi="ATT Aleck Sans" w:cs="ATT Aleck Sans"/>
          <w:b/>
          <w:bCs/>
          <w:color w:val="0070C0"/>
          <w:sz w:val="22"/>
          <w:szCs w:val="22"/>
        </w:rPr>
        <w:br w:type="page"/>
      </w:r>
    </w:p>
    <w:p w14:paraId="62AE399F" w14:textId="6B04FF6C" w:rsidR="00A43A5A" w:rsidRDefault="00A43A5A" w:rsidP="00A43A5A">
      <w:pPr>
        <w:jc w:val="both"/>
        <w:rPr>
          <w:rFonts w:ascii="ATT Aleck Sans" w:hAnsi="ATT Aleck Sans" w:cs="ATT Aleck Sans"/>
          <w:b/>
          <w:bCs/>
          <w:color w:val="0070C0"/>
          <w:sz w:val="22"/>
          <w:szCs w:val="22"/>
        </w:rPr>
      </w:pPr>
      <w:r>
        <w:rPr>
          <w:rFonts w:ascii="ATT Aleck Sans" w:hAnsi="ATT Aleck Sans" w:cs="ATT Aleck Sans"/>
          <w:b/>
          <w:bCs/>
          <w:color w:val="0070C0"/>
          <w:sz w:val="22"/>
          <w:szCs w:val="22"/>
        </w:rPr>
        <w:lastRenderedPageBreak/>
        <w:t xml:space="preserve">Process </w:t>
      </w:r>
      <w:r w:rsidR="00BB48CD">
        <w:rPr>
          <w:rFonts w:ascii="ATT Aleck Sans" w:hAnsi="ATT Aleck Sans" w:cs="ATT Aleck Sans"/>
          <w:b/>
          <w:bCs/>
          <w:color w:val="0070C0"/>
          <w:sz w:val="22"/>
          <w:szCs w:val="22"/>
        </w:rPr>
        <w:t xml:space="preserve">Steps to initiate an AESP Migration </w:t>
      </w:r>
      <w:r w:rsidR="001C0929">
        <w:rPr>
          <w:rFonts w:ascii="ATT Aleck Sans" w:hAnsi="ATT Aleck Sans" w:cs="ATT Aleck Sans"/>
          <w:b/>
          <w:bCs/>
          <w:color w:val="0070C0"/>
          <w:sz w:val="22"/>
          <w:szCs w:val="22"/>
        </w:rPr>
        <w:t xml:space="preserve">with </w:t>
      </w:r>
      <w:r w:rsidR="00BB48CD">
        <w:rPr>
          <w:rFonts w:ascii="ATT Aleck Sans" w:hAnsi="ATT Aleck Sans" w:cs="ATT Aleck Sans"/>
          <w:b/>
          <w:bCs/>
          <w:color w:val="0070C0"/>
          <w:sz w:val="22"/>
          <w:szCs w:val="22"/>
        </w:rPr>
        <w:t>AT&amp;T</w:t>
      </w:r>
    </w:p>
    <w:p w14:paraId="18E7517E" w14:textId="7D2E1BA5" w:rsidR="00A43A5A" w:rsidRPr="00A43A5A" w:rsidRDefault="00A43A5A" w:rsidP="00A43A5A">
      <w:pPr>
        <w:jc w:val="both"/>
        <w:rPr>
          <w:rFonts w:ascii="ATT Aleck Sans" w:hAnsi="ATT Aleck Sans" w:cs="ATT Aleck Sans"/>
          <w:i/>
          <w:iCs/>
          <w:color w:val="000000" w:themeColor="text2"/>
          <w:sz w:val="20"/>
          <w:szCs w:val="20"/>
        </w:rPr>
      </w:pPr>
    </w:p>
    <w:p w14:paraId="6C47DF4D" w14:textId="6A3E650E" w:rsidR="00A87746" w:rsidRDefault="00A87746" w:rsidP="00A87746">
      <w:pPr>
        <w:pStyle w:val="ListParagraph"/>
        <w:numPr>
          <w:ilvl w:val="0"/>
          <w:numId w:val="24"/>
        </w:numPr>
        <w:jc w:val="both"/>
        <w:rPr>
          <w:rFonts w:ascii="ATT Aleck Sans" w:hAnsi="ATT Aleck Sans" w:cs="ATT Aleck Sans"/>
          <w:sz w:val="20"/>
          <w:szCs w:val="20"/>
        </w:rPr>
      </w:pPr>
      <w:r>
        <w:rPr>
          <w:rFonts w:ascii="ATT Aleck Sans" w:hAnsi="ATT Aleck Sans" w:cs="ATT Aleck Sans"/>
          <w:sz w:val="20"/>
          <w:szCs w:val="20"/>
        </w:rPr>
        <w:t xml:space="preserve">AESP </w:t>
      </w:r>
      <w:r w:rsidR="00BB48CD">
        <w:rPr>
          <w:rFonts w:ascii="ATT Aleck Sans" w:hAnsi="ATT Aleck Sans" w:cs="ATT Aleck Sans"/>
          <w:sz w:val="20"/>
          <w:szCs w:val="20"/>
        </w:rPr>
        <w:t>submits its request for an AT&amp;T Migration project manager along with its related documentation</w:t>
      </w:r>
      <w:r w:rsidR="00585D35">
        <w:rPr>
          <w:rFonts w:ascii="ATT Aleck Sans" w:hAnsi="ATT Aleck Sans" w:cs="ATT Aleck Sans"/>
          <w:sz w:val="20"/>
          <w:szCs w:val="20"/>
        </w:rPr>
        <w:t>.  AESP should submit this request and documentation in a single email</w:t>
      </w:r>
      <w:r w:rsidR="00BB48CD">
        <w:rPr>
          <w:rFonts w:ascii="ATT Aleck Sans" w:hAnsi="ATT Aleck Sans" w:cs="ATT Aleck Sans"/>
          <w:sz w:val="20"/>
          <w:szCs w:val="20"/>
        </w:rPr>
        <w:t xml:space="preserve"> to the AT&amp;T dedicated AESP Migrations Mailbox: </w:t>
      </w:r>
      <w:hyperlink r:id="rId10" w:history="1">
        <w:r w:rsidRPr="00214970">
          <w:rPr>
            <w:rStyle w:val="Hyperlink"/>
            <w:rFonts w:ascii="ATT Aleck Sans" w:hAnsi="ATT Aleck Sans" w:cs="ATT Aleck Sans"/>
            <w:sz w:val="20"/>
            <w:szCs w:val="20"/>
          </w:rPr>
          <w:t>AESPMigrations@att.com</w:t>
        </w:r>
      </w:hyperlink>
      <w:r w:rsidR="00BB48CD">
        <w:rPr>
          <w:rFonts w:ascii="ATT Aleck Sans" w:hAnsi="ATT Aleck Sans" w:cs="ATT Aleck Sans"/>
          <w:sz w:val="20"/>
          <w:szCs w:val="20"/>
        </w:rPr>
        <w:t>.  The documentation accompanying AESP’s request must include each of the following:</w:t>
      </w:r>
    </w:p>
    <w:p w14:paraId="6ACF054C" w14:textId="37A520DE" w:rsidR="00882A2D" w:rsidRPr="00922195" w:rsidRDefault="00882A2D" w:rsidP="00882A2D">
      <w:pPr>
        <w:pStyle w:val="ListParagraph"/>
        <w:numPr>
          <w:ilvl w:val="2"/>
          <w:numId w:val="24"/>
        </w:numPr>
        <w:jc w:val="both"/>
        <w:rPr>
          <w:rFonts w:ascii="ATT Aleck Sans" w:hAnsi="ATT Aleck Sans" w:cs="ATT Aleck Sans"/>
          <w:sz w:val="20"/>
          <w:szCs w:val="20"/>
        </w:rPr>
      </w:pPr>
      <w:r w:rsidRPr="00922195">
        <w:rPr>
          <w:rFonts w:ascii="ATT Aleck Sans" w:hAnsi="ATT Aleck Sans" w:cs="ATT Aleck Sans"/>
          <w:sz w:val="20"/>
          <w:szCs w:val="20"/>
        </w:rPr>
        <w:t xml:space="preserve">AESP Carrier Change Notification Letter (CCN) </w:t>
      </w:r>
    </w:p>
    <w:p w14:paraId="22321836" w14:textId="39C7B344" w:rsidR="00882A2D" w:rsidRPr="00922195" w:rsidRDefault="009A17E1" w:rsidP="00882A2D">
      <w:pPr>
        <w:pStyle w:val="ListParagraph"/>
        <w:numPr>
          <w:ilvl w:val="2"/>
          <w:numId w:val="24"/>
        </w:numPr>
        <w:rPr>
          <w:rFonts w:ascii="ATT Aleck Sans" w:hAnsi="ATT Aleck Sans" w:cs="ATT Aleck Sans"/>
          <w:sz w:val="20"/>
          <w:szCs w:val="20"/>
        </w:rPr>
      </w:pPr>
      <w:r>
        <w:rPr>
          <w:rFonts w:ascii="ATT Aleck Sans" w:hAnsi="ATT Aleck Sans" w:cs="ATT Aleck Sans"/>
          <w:sz w:val="20"/>
          <w:szCs w:val="20"/>
        </w:rPr>
        <w:t>9-1-1</w:t>
      </w:r>
      <w:r w:rsidR="00882A2D" w:rsidRPr="00922195">
        <w:rPr>
          <w:rFonts w:ascii="ATT Aleck Sans" w:hAnsi="ATT Aleck Sans" w:cs="ATT Aleck Sans"/>
          <w:sz w:val="20"/>
          <w:szCs w:val="20"/>
        </w:rPr>
        <w:t xml:space="preserve"> Authority Letter of Authorization (LOA) </w:t>
      </w:r>
    </w:p>
    <w:p w14:paraId="511BFD99" w14:textId="1C795C58" w:rsidR="00882A2D" w:rsidRDefault="00882A2D" w:rsidP="00882A2D">
      <w:pPr>
        <w:pStyle w:val="ListParagraph"/>
        <w:numPr>
          <w:ilvl w:val="2"/>
          <w:numId w:val="24"/>
        </w:numPr>
        <w:rPr>
          <w:rFonts w:ascii="ATT Aleck Sans" w:hAnsi="ATT Aleck Sans" w:cs="ATT Aleck Sans"/>
          <w:sz w:val="20"/>
          <w:szCs w:val="20"/>
        </w:rPr>
      </w:pPr>
      <w:r>
        <w:rPr>
          <w:rFonts w:ascii="ATT Aleck Sans" w:hAnsi="ATT Aleck Sans" w:cs="ATT Aleck Sans"/>
          <w:sz w:val="20"/>
          <w:szCs w:val="20"/>
        </w:rPr>
        <w:t>Network Transition Planning Form (TPF)</w:t>
      </w:r>
    </w:p>
    <w:p w14:paraId="6AE502B4" w14:textId="58EFF8BE" w:rsidR="00882A2D" w:rsidRDefault="00882A2D" w:rsidP="00882A2D">
      <w:pPr>
        <w:pStyle w:val="ListParagraph"/>
        <w:numPr>
          <w:ilvl w:val="2"/>
          <w:numId w:val="24"/>
        </w:numPr>
        <w:rPr>
          <w:rFonts w:ascii="ATT Aleck Sans" w:hAnsi="ATT Aleck Sans" w:cs="ATT Aleck Sans"/>
          <w:sz w:val="20"/>
          <w:szCs w:val="20"/>
        </w:rPr>
      </w:pPr>
      <w:r>
        <w:rPr>
          <w:rFonts w:ascii="ATT Aleck Sans" w:hAnsi="ATT Aleck Sans" w:cs="ATT Aleck Sans"/>
          <w:sz w:val="20"/>
          <w:szCs w:val="20"/>
        </w:rPr>
        <w:t>Network Diagram</w:t>
      </w:r>
    </w:p>
    <w:p w14:paraId="4FA7188C" w14:textId="6AC7C8F8" w:rsidR="00882A2D" w:rsidRPr="00A27E71" w:rsidRDefault="00EF2870" w:rsidP="00882A2D">
      <w:pPr>
        <w:pStyle w:val="ListParagraph"/>
        <w:numPr>
          <w:ilvl w:val="1"/>
          <w:numId w:val="24"/>
        </w:numPr>
        <w:jc w:val="both"/>
        <w:rPr>
          <w:rFonts w:ascii="ATT Aleck Sans" w:hAnsi="ATT Aleck Sans" w:cs="ATT Aleck Sans"/>
          <w:color w:val="0568AE" w:themeColor="accent4"/>
          <w:sz w:val="20"/>
          <w:szCs w:val="20"/>
        </w:rPr>
      </w:pPr>
      <w:r>
        <w:rPr>
          <w:rFonts w:ascii="ATT Aleck Sans" w:hAnsi="ATT Aleck Sans" w:cs="ATT Aleck Sans"/>
          <w:color w:val="0568AE" w:themeColor="accent4"/>
          <w:sz w:val="20"/>
          <w:szCs w:val="20"/>
        </w:rPr>
        <w:t>Missing or incomplete</w:t>
      </w:r>
      <w:r w:rsidR="00882A2D" w:rsidRPr="00A27E71">
        <w:rPr>
          <w:rFonts w:ascii="ATT Aleck Sans" w:hAnsi="ATT Aleck Sans" w:cs="ATT Aleck Sans"/>
          <w:color w:val="0568AE" w:themeColor="accent4"/>
          <w:sz w:val="20"/>
          <w:szCs w:val="20"/>
        </w:rPr>
        <w:t xml:space="preserve"> documentation </w:t>
      </w:r>
      <w:r w:rsidR="00B51AA6" w:rsidRPr="00A27E71">
        <w:rPr>
          <w:rFonts w:ascii="ATT Aleck Sans" w:hAnsi="ATT Aleck Sans" w:cs="ATT Aleck Sans"/>
          <w:color w:val="0568AE" w:themeColor="accent4"/>
          <w:sz w:val="20"/>
          <w:szCs w:val="20"/>
        </w:rPr>
        <w:t>in</w:t>
      </w:r>
      <w:r w:rsidR="00882A2D" w:rsidRPr="00A27E71">
        <w:rPr>
          <w:rFonts w:ascii="ATT Aleck Sans" w:hAnsi="ATT Aleck Sans" w:cs="ATT Aleck Sans"/>
          <w:color w:val="0568AE" w:themeColor="accent4"/>
          <w:sz w:val="20"/>
          <w:szCs w:val="20"/>
        </w:rPr>
        <w:t xml:space="preserve"> </w:t>
      </w:r>
      <w:r w:rsidR="00663490" w:rsidRPr="00A27E71">
        <w:rPr>
          <w:rFonts w:ascii="ATT Aleck Sans" w:hAnsi="ATT Aleck Sans" w:cs="ATT Aleck Sans"/>
          <w:color w:val="0568AE" w:themeColor="accent4"/>
          <w:sz w:val="20"/>
          <w:szCs w:val="20"/>
        </w:rPr>
        <w:t xml:space="preserve">the </w:t>
      </w:r>
      <w:r w:rsidR="00882A2D" w:rsidRPr="00A27E71">
        <w:rPr>
          <w:rFonts w:ascii="ATT Aleck Sans" w:hAnsi="ATT Aleck Sans" w:cs="ATT Aleck Sans"/>
          <w:color w:val="0568AE" w:themeColor="accent4"/>
          <w:sz w:val="20"/>
          <w:szCs w:val="20"/>
        </w:rPr>
        <w:t>initial request</w:t>
      </w:r>
      <w:r w:rsidR="00B51AA6" w:rsidRPr="00A27E71">
        <w:rPr>
          <w:rFonts w:ascii="ATT Aleck Sans" w:hAnsi="ATT Aleck Sans" w:cs="ATT Aleck Sans"/>
          <w:color w:val="0568AE" w:themeColor="accent4"/>
          <w:sz w:val="20"/>
          <w:szCs w:val="20"/>
        </w:rPr>
        <w:t xml:space="preserve"> will delay migration planning</w:t>
      </w:r>
      <w:r w:rsidR="00477DE5" w:rsidRPr="00A27E71">
        <w:rPr>
          <w:rFonts w:ascii="ATT Aleck Sans" w:hAnsi="ATT Aleck Sans" w:cs="ATT Aleck Sans"/>
          <w:color w:val="0568AE" w:themeColor="accent4"/>
          <w:sz w:val="20"/>
          <w:szCs w:val="20"/>
        </w:rPr>
        <w:t>.  A complete TPF and Network Diagram are especially important.  Without these documents, AT&amp;T cannot create a migration plan.</w:t>
      </w:r>
    </w:p>
    <w:p w14:paraId="32640FDD" w14:textId="3F5DDE7D" w:rsidR="00882A2D" w:rsidRDefault="00882A2D" w:rsidP="00882A2D">
      <w:pPr>
        <w:pStyle w:val="ListParagraph"/>
        <w:numPr>
          <w:ilvl w:val="0"/>
          <w:numId w:val="24"/>
        </w:numPr>
        <w:jc w:val="both"/>
        <w:rPr>
          <w:rFonts w:ascii="ATT Aleck Sans" w:hAnsi="ATT Aleck Sans" w:cs="ATT Aleck Sans"/>
          <w:sz w:val="20"/>
          <w:szCs w:val="20"/>
        </w:rPr>
      </w:pPr>
      <w:r>
        <w:rPr>
          <w:rFonts w:ascii="ATT Aleck Sans" w:hAnsi="ATT Aleck Sans" w:cs="ATT Aleck Sans"/>
          <w:sz w:val="20"/>
          <w:szCs w:val="20"/>
        </w:rPr>
        <w:t xml:space="preserve">AT&amp;T will confirm </w:t>
      </w:r>
      <w:r w:rsidR="008A3A45">
        <w:rPr>
          <w:rFonts w:ascii="ATT Aleck Sans" w:hAnsi="ATT Aleck Sans" w:cs="ATT Aleck Sans"/>
          <w:sz w:val="20"/>
          <w:szCs w:val="20"/>
        </w:rPr>
        <w:t xml:space="preserve">whether </w:t>
      </w:r>
      <w:r w:rsidR="00EF2870">
        <w:rPr>
          <w:rFonts w:ascii="ATT Aleck Sans" w:hAnsi="ATT Aleck Sans" w:cs="ATT Aleck Sans"/>
          <w:sz w:val="20"/>
          <w:szCs w:val="20"/>
        </w:rPr>
        <w:t>the terms and conditions for interconnection and 9-1-1 call handling have been finalized</w:t>
      </w:r>
      <w:r>
        <w:rPr>
          <w:rFonts w:ascii="ATT Aleck Sans" w:hAnsi="ATT Aleck Sans" w:cs="ATT Aleck Sans"/>
          <w:sz w:val="20"/>
          <w:szCs w:val="20"/>
        </w:rPr>
        <w:t xml:space="preserve"> </w:t>
      </w:r>
      <w:r w:rsidR="002B49F3">
        <w:rPr>
          <w:rFonts w:ascii="ATT Aleck Sans" w:hAnsi="ATT Aleck Sans" w:cs="ATT Aleck Sans"/>
          <w:sz w:val="20"/>
          <w:szCs w:val="20"/>
        </w:rPr>
        <w:t>between AT&amp;T and AESP</w:t>
      </w:r>
      <w:r w:rsidR="00E52176">
        <w:rPr>
          <w:rFonts w:ascii="ATT Aleck Sans" w:hAnsi="ATT Aleck Sans" w:cs="ATT Aleck Sans"/>
          <w:sz w:val="20"/>
          <w:szCs w:val="20"/>
        </w:rPr>
        <w:t xml:space="preserve"> for the area covered by the current request</w:t>
      </w:r>
      <w:r w:rsidR="00FC3F79">
        <w:rPr>
          <w:rFonts w:ascii="ATT Aleck Sans" w:hAnsi="ATT Aleck Sans" w:cs="ATT Aleck Sans"/>
          <w:sz w:val="20"/>
          <w:szCs w:val="20"/>
        </w:rPr>
        <w:t>.</w:t>
      </w:r>
    </w:p>
    <w:p w14:paraId="7D1602C7" w14:textId="5DE1D62C" w:rsidR="00882A2D" w:rsidRPr="00A27E71" w:rsidRDefault="00EF2870" w:rsidP="00882A2D">
      <w:pPr>
        <w:pStyle w:val="ListParagraph"/>
        <w:numPr>
          <w:ilvl w:val="1"/>
          <w:numId w:val="24"/>
        </w:numPr>
        <w:jc w:val="both"/>
        <w:rPr>
          <w:rFonts w:ascii="ATT Aleck Sans" w:hAnsi="ATT Aleck Sans" w:cs="ATT Aleck Sans"/>
          <w:color w:val="0568AE" w:themeColor="accent4"/>
          <w:sz w:val="20"/>
          <w:szCs w:val="20"/>
        </w:rPr>
      </w:pPr>
      <w:r>
        <w:rPr>
          <w:rFonts w:ascii="ATT Aleck Sans" w:hAnsi="ATT Aleck Sans" w:cs="ATT Aleck Sans"/>
          <w:color w:val="0568AE" w:themeColor="accent4"/>
          <w:sz w:val="20"/>
          <w:szCs w:val="20"/>
        </w:rPr>
        <w:t>Until the terms and conditions are finalized</w:t>
      </w:r>
      <w:r w:rsidR="00882A2D" w:rsidRPr="00A27E71">
        <w:rPr>
          <w:rFonts w:ascii="ATT Aleck Sans" w:hAnsi="ATT Aleck Sans" w:cs="ATT Aleck Sans"/>
          <w:color w:val="0568AE" w:themeColor="accent4"/>
          <w:sz w:val="20"/>
          <w:szCs w:val="20"/>
        </w:rPr>
        <w:t xml:space="preserve">, AT&amp;T will direct AESP to </w:t>
      </w:r>
      <w:r w:rsidR="00585D35" w:rsidRPr="00A27E71">
        <w:rPr>
          <w:rFonts w:ascii="ATT Aleck Sans" w:hAnsi="ATT Aleck Sans" w:cs="ATT Aleck Sans"/>
          <w:color w:val="0568AE" w:themeColor="accent4"/>
          <w:sz w:val="20"/>
          <w:szCs w:val="20"/>
        </w:rPr>
        <w:t xml:space="preserve">the Contract </w:t>
      </w:r>
      <w:r w:rsidR="00882A2D" w:rsidRPr="00A27E71">
        <w:rPr>
          <w:rFonts w:ascii="ATT Aleck Sans" w:hAnsi="ATT Aleck Sans" w:cs="ATT Aleck Sans"/>
          <w:color w:val="0568AE" w:themeColor="accent4"/>
          <w:sz w:val="20"/>
          <w:szCs w:val="20"/>
        </w:rPr>
        <w:t>Negotiations mailbox (</w:t>
      </w:r>
      <w:hyperlink r:id="rId11" w:history="1">
        <w:r w:rsidR="00882A2D" w:rsidRPr="00A27E71">
          <w:rPr>
            <w:rStyle w:val="Hyperlink"/>
            <w:rFonts w:ascii="ATT Aleck Sans" w:hAnsi="ATT Aleck Sans" w:cs="ATT Aleck Sans"/>
            <w:sz w:val="20"/>
            <w:szCs w:val="20"/>
          </w:rPr>
          <w:t>m41654@att.com</w:t>
        </w:r>
      </w:hyperlink>
      <w:r w:rsidR="00882A2D" w:rsidRPr="00A27E71">
        <w:rPr>
          <w:rFonts w:ascii="ATT Aleck Sans" w:hAnsi="ATT Aleck Sans" w:cs="ATT Aleck Sans"/>
          <w:color w:val="0568AE" w:themeColor="accent4"/>
          <w:sz w:val="20"/>
          <w:szCs w:val="20"/>
        </w:rPr>
        <w:t xml:space="preserve">) to </w:t>
      </w:r>
      <w:r>
        <w:rPr>
          <w:rFonts w:ascii="ATT Aleck Sans" w:hAnsi="ATT Aleck Sans" w:cs="ATT Aleck Sans"/>
          <w:color w:val="0568AE" w:themeColor="accent4"/>
          <w:sz w:val="20"/>
          <w:szCs w:val="20"/>
        </w:rPr>
        <w:t>manage</w:t>
      </w:r>
      <w:r w:rsidR="00882A2D" w:rsidRPr="00A27E71">
        <w:rPr>
          <w:rFonts w:ascii="ATT Aleck Sans" w:hAnsi="ATT Aleck Sans" w:cs="ATT Aleck Sans"/>
          <w:color w:val="0568AE" w:themeColor="accent4"/>
          <w:sz w:val="20"/>
          <w:szCs w:val="20"/>
        </w:rPr>
        <w:t xml:space="preserve"> </w:t>
      </w:r>
      <w:r w:rsidR="00E52176" w:rsidRPr="00A27E71">
        <w:rPr>
          <w:rFonts w:ascii="ATT Aleck Sans" w:hAnsi="ATT Aleck Sans" w:cs="ATT Aleck Sans"/>
          <w:color w:val="0568AE" w:themeColor="accent4"/>
          <w:sz w:val="20"/>
          <w:szCs w:val="20"/>
        </w:rPr>
        <w:t xml:space="preserve">the </w:t>
      </w:r>
      <w:r w:rsidR="00882A2D" w:rsidRPr="00A27E71">
        <w:rPr>
          <w:rFonts w:ascii="ATT Aleck Sans" w:hAnsi="ATT Aleck Sans" w:cs="ATT Aleck Sans"/>
          <w:color w:val="0568AE" w:themeColor="accent4"/>
          <w:sz w:val="20"/>
          <w:szCs w:val="20"/>
        </w:rPr>
        <w:t xml:space="preserve">negotiation process </w:t>
      </w:r>
    </w:p>
    <w:p w14:paraId="4D1A0680" w14:textId="65C67D4E" w:rsidR="00CE525E" w:rsidRPr="00A27E71" w:rsidRDefault="00CE525E" w:rsidP="00CE525E">
      <w:pPr>
        <w:pStyle w:val="ListParagraph"/>
        <w:numPr>
          <w:ilvl w:val="0"/>
          <w:numId w:val="24"/>
        </w:numPr>
        <w:jc w:val="both"/>
        <w:rPr>
          <w:rFonts w:ascii="ATT Aleck Sans" w:hAnsi="ATT Aleck Sans" w:cs="ATT Aleck Sans"/>
          <w:sz w:val="20"/>
          <w:szCs w:val="20"/>
        </w:rPr>
      </w:pPr>
      <w:r w:rsidRPr="00784E81">
        <w:rPr>
          <w:rFonts w:ascii="ATT Aleck Sans" w:hAnsi="ATT Aleck Sans" w:cs="ATT Aleck Sans"/>
          <w:sz w:val="20"/>
          <w:szCs w:val="20"/>
        </w:rPr>
        <w:t xml:space="preserve">AT&amp;T will notify AESP of </w:t>
      </w:r>
      <w:r w:rsidR="00E52176">
        <w:rPr>
          <w:rFonts w:ascii="ATT Aleck Sans" w:hAnsi="ATT Aleck Sans" w:cs="ATT Aleck Sans"/>
          <w:sz w:val="20"/>
          <w:szCs w:val="20"/>
        </w:rPr>
        <w:t>the result</w:t>
      </w:r>
      <w:r w:rsidR="004C6DF0">
        <w:rPr>
          <w:rFonts w:ascii="ATT Aleck Sans" w:hAnsi="ATT Aleck Sans" w:cs="ATT Aleck Sans"/>
          <w:sz w:val="20"/>
          <w:szCs w:val="20"/>
        </w:rPr>
        <w:t>s</w:t>
      </w:r>
      <w:r w:rsidR="00E52176">
        <w:rPr>
          <w:rFonts w:ascii="ATT Aleck Sans" w:hAnsi="ATT Aleck Sans" w:cs="ATT Aleck Sans"/>
          <w:sz w:val="20"/>
          <w:szCs w:val="20"/>
        </w:rPr>
        <w:t xml:space="preserve"> of AT&amp;T’s review of AESP’s request</w:t>
      </w:r>
      <w:r w:rsidR="00A27E71">
        <w:rPr>
          <w:rFonts w:ascii="ATT Aleck Sans" w:hAnsi="ATT Aleck Sans" w:cs="ATT Aleck Sans"/>
          <w:sz w:val="20"/>
          <w:szCs w:val="20"/>
        </w:rPr>
        <w:t xml:space="preserve"> or reason for delay in project manager assignment as appropriate.  </w:t>
      </w:r>
    </w:p>
    <w:p w14:paraId="6308366D" w14:textId="17773BC9" w:rsidR="00882A2D" w:rsidRPr="00882A2D" w:rsidRDefault="00882A2D" w:rsidP="00882A2D">
      <w:pPr>
        <w:jc w:val="both"/>
        <w:rPr>
          <w:rFonts w:ascii="ATT Aleck Sans" w:hAnsi="ATT Aleck Sans" w:cs="ATT Aleck Sans"/>
          <w:sz w:val="20"/>
          <w:szCs w:val="20"/>
        </w:rPr>
      </w:pPr>
    </w:p>
    <w:sectPr w:rsidR="00882A2D" w:rsidRPr="00882A2D" w:rsidSect="00A43A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080" w:bottom="1152" w:left="216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2EEFC" w14:textId="77777777" w:rsidR="0062470F" w:rsidRDefault="0062470F" w:rsidP="00327CEA">
      <w:r>
        <w:separator/>
      </w:r>
    </w:p>
  </w:endnote>
  <w:endnote w:type="continuationSeparator" w:id="0">
    <w:p w14:paraId="603F28F6" w14:textId="77777777" w:rsidR="0062470F" w:rsidRDefault="0062470F" w:rsidP="0032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TT Aleck Sans">
    <w:panose1 w:val="020B0503020203020204"/>
    <w:charset w:val="00"/>
    <w:family w:val="swiss"/>
    <w:pitch w:val="variable"/>
    <w:sig w:usb0="A000006F" w:usb1="5000004B" w:usb2="00000008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FE2B6" w14:textId="77777777" w:rsidR="00F4069C" w:rsidRDefault="00F4069C" w:rsidP="00C230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994725" w14:textId="77777777" w:rsidR="00F4069C" w:rsidRDefault="00F4069C" w:rsidP="004376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02818" w14:textId="77777777" w:rsidR="00345A52" w:rsidRPr="00A43A5A" w:rsidRDefault="00345A52" w:rsidP="00345A52">
    <w:pPr>
      <w:pStyle w:val="Footer"/>
      <w:ind w:right="360"/>
      <w:rPr>
        <w:rFonts w:ascii="ATT Aleck Sans" w:hAnsi="ATT Aleck Sans" w:cs="ATT Aleck Sans"/>
        <w:sz w:val="16"/>
        <w:szCs w:val="16"/>
      </w:rPr>
    </w:pPr>
    <w:bookmarkStart w:id="0" w:name="_GoBack"/>
    <w:bookmarkEnd w:id="0"/>
    <w:r>
      <w:rPr>
        <w:rFonts w:ascii="ATT Aleck Sans" w:hAnsi="ATT Aleck Sans" w:cs="ATT Aleck Sans"/>
        <w:sz w:val="16"/>
        <w:szCs w:val="16"/>
      </w:rPr>
      <w:t xml:space="preserve">Page </w:t>
    </w:r>
    <w:r>
      <w:rPr>
        <w:rFonts w:ascii="ATT Aleck Sans" w:hAnsi="ATT Aleck Sans" w:cs="ATT Aleck Sans"/>
        <w:sz w:val="16"/>
        <w:szCs w:val="16"/>
      </w:rPr>
      <w:fldChar w:fldCharType="begin"/>
    </w:r>
    <w:r>
      <w:rPr>
        <w:rFonts w:ascii="ATT Aleck Sans" w:hAnsi="ATT Aleck Sans" w:cs="ATT Aleck Sans"/>
        <w:sz w:val="16"/>
        <w:szCs w:val="16"/>
      </w:rPr>
      <w:instrText xml:space="preserve"> PAGE  \* Arabic  \* MERGEFORMAT </w:instrText>
    </w:r>
    <w:r>
      <w:rPr>
        <w:rFonts w:ascii="ATT Aleck Sans" w:hAnsi="ATT Aleck Sans" w:cs="ATT Aleck Sans"/>
        <w:sz w:val="16"/>
        <w:szCs w:val="16"/>
      </w:rPr>
      <w:fldChar w:fldCharType="separate"/>
    </w:r>
    <w:r>
      <w:rPr>
        <w:rFonts w:ascii="ATT Aleck Sans" w:hAnsi="ATT Aleck Sans" w:cs="ATT Aleck Sans"/>
        <w:sz w:val="16"/>
        <w:szCs w:val="16"/>
      </w:rPr>
      <w:t>1</w:t>
    </w:r>
    <w:r>
      <w:rPr>
        <w:rFonts w:ascii="ATT Aleck Sans" w:hAnsi="ATT Aleck Sans" w:cs="ATT Aleck Sans"/>
        <w:sz w:val="16"/>
        <w:szCs w:val="16"/>
      </w:rPr>
      <w:fldChar w:fldCharType="end"/>
    </w:r>
  </w:p>
  <w:p w14:paraId="0FE0387B" w14:textId="180A5F79" w:rsidR="00784E81" w:rsidRDefault="00A43A5A" w:rsidP="00A43A5A">
    <w:pPr>
      <w:pStyle w:val="Footer"/>
      <w:ind w:right="360"/>
      <w:rPr>
        <w:rFonts w:ascii="ATT Aleck Sans" w:hAnsi="ATT Aleck Sans" w:cs="ATT Aleck Sans"/>
        <w:sz w:val="16"/>
        <w:szCs w:val="16"/>
      </w:rPr>
    </w:pPr>
    <w:r>
      <w:rPr>
        <w:rFonts w:ascii="ATT Aleck Sans" w:hAnsi="ATT Aleck Sans" w:cs="ATT Aleck Sans"/>
        <w:sz w:val="16"/>
        <w:szCs w:val="16"/>
      </w:rPr>
      <w:t xml:space="preserve">AESP Migrations – </w:t>
    </w:r>
    <w:r w:rsidR="00784E81">
      <w:rPr>
        <w:rFonts w:ascii="ATT Aleck Sans" w:hAnsi="ATT Aleck Sans" w:cs="ATT Aleck Sans"/>
        <w:sz w:val="16"/>
        <w:szCs w:val="16"/>
      </w:rPr>
      <w:t>AESP</w:t>
    </w:r>
  </w:p>
  <w:p w14:paraId="60FD52A9" w14:textId="771F308C" w:rsidR="004716B8" w:rsidRDefault="004716B8" w:rsidP="00A43A5A">
    <w:pPr>
      <w:pStyle w:val="Footer"/>
      <w:ind w:right="360"/>
      <w:rPr>
        <w:rFonts w:ascii="ATT Aleck Sans" w:hAnsi="ATT Aleck Sans" w:cs="ATT Aleck Sans"/>
        <w:sz w:val="16"/>
        <w:szCs w:val="16"/>
      </w:rPr>
    </w:pPr>
    <w:r>
      <w:rPr>
        <w:rFonts w:ascii="ATT Aleck Sans" w:hAnsi="ATT Aleck Sans" w:cs="ATT Aleck Sans"/>
        <w:sz w:val="16"/>
        <w:szCs w:val="16"/>
      </w:rPr>
      <w:t>June 2020</w:t>
    </w:r>
  </w:p>
  <w:p w14:paraId="1B6814A5" w14:textId="55CDD475" w:rsidR="00A43A5A" w:rsidRDefault="00A43A5A" w:rsidP="00A43A5A">
    <w:pPr>
      <w:pStyle w:val="Footer"/>
      <w:ind w:right="360"/>
      <w:rPr>
        <w:rFonts w:ascii="ATT Aleck Sans" w:hAnsi="ATT Aleck Sans" w:cs="ATT Aleck Sans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10633" w14:textId="05BBFDF5" w:rsidR="00F4069C" w:rsidRPr="00E56339" w:rsidRDefault="00540BAD" w:rsidP="00DB4622">
    <w:pPr>
      <w:pStyle w:val="Footer"/>
      <w:rPr>
        <w:rFonts w:ascii="ATT Aleck Sans" w:hAnsi="ATT Aleck Sans" w:cs="ATT Aleck Sans"/>
        <w:sz w:val="16"/>
        <w:szCs w:val="16"/>
      </w:rPr>
    </w:pPr>
    <w:r w:rsidRPr="00E56339">
      <w:rPr>
        <w:rFonts w:ascii="ATT Aleck Sans" w:hAnsi="ATT Aleck Sans" w:cs="ATT Aleck Sans"/>
        <w:sz w:val="16"/>
        <w:szCs w:val="16"/>
      </w:rPr>
      <w:fldChar w:fldCharType="begin"/>
    </w:r>
    <w:r w:rsidRPr="00E56339">
      <w:rPr>
        <w:rFonts w:ascii="ATT Aleck Sans" w:hAnsi="ATT Aleck Sans" w:cs="ATT Aleck Sans"/>
        <w:sz w:val="16"/>
        <w:szCs w:val="16"/>
      </w:rPr>
      <w:instrText xml:space="preserve"> DATE \@ "MMMM d, yyyy" </w:instrText>
    </w:r>
    <w:r w:rsidRPr="00E56339">
      <w:rPr>
        <w:rFonts w:ascii="ATT Aleck Sans" w:hAnsi="ATT Aleck Sans" w:cs="ATT Aleck Sans"/>
        <w:sz w:val="16"/>
        <w:szCs w:val="16"/>
      </w:rPr>
      <w:fldChar w:fldCharType="separate"/>
    </w:r>
    <w:r w:rsidR="004716B8">
      <w:rPr>
        <w:rFonts w:ascii="ATT Aleck Sans" w:hAnsi="ATT Aleck Sans" w:cs="ATT Aleck Sans"/>
        <w:noProof/>
        <w:sz w:val="16"/>
        <w:szCs w:val="16"/>
      </w:rPr>
      <w:t>June 22, 2020</w:t>
    </w:r>
    <w:r w:rsidRPr="00E56339">
      <w:rPr>
        <w:rFonts w:ascii="ATT Aleck Sans" w:hAnsi="ATT Aleck Sans" w:cs="ATT Aleck Sans"/>
        <w:sz w:val="16"/>
        <w:szCs w:val="16"/>
      </w:rPr>
      <w:fldChar w:fldCharType="end"/>
    </w:r>
  </w:p>
  <w:p w14:paraId="6537B009" w14:textId="046CCD6E" w:rsidR="00F4069C" w:rsidRPr="00E56339" w:rsidRDefault="00E56339">
    <w:pPr>
      <w:pStyle w:val="Footer"/>
      <w:rPr>
        <w:rFonts w:ascii="ATT Aleck Sans" w:hAnsi="ATT Aleck Sans" w:cs="ATT Aleck Sans"/>
        <w:spacing w:val="-1"/>
        <w:sz w:val="16"/>
        <w:szCs w:val="16"/>
      </w:rPr>
    </w:pPr>
    <w:r w:rsidRPr="00E56339">
      <w:rPr>
        <w:rFonts w:ascii="ATT Aleck Sans" w:hAnsi="ATT Aleck Sans" w:cs="ATT Aleck Sans"/>
        <w:spacing w:val="-1"/>
        <w:sz w:val="16"/>
        <w:szCs w:val="16"/>
      </w:rPr>
      <w:t>AESP Migration Process – INTERNAL ORGS</w:t>
    </w:r>
  </w:p>
  <w:p w14:paraId="5D11ABCF" w14:textId="6566217D" w:rsidR="00E56339" w:rsidRPr="00E56339" w:rsidRDefault="00E56339">
    <w:pPr>
      <w:pStyle w:val="Footer"/>
      <w:rPr>
        <w:rFonts w:ascii="ATT Aleck Sans" w:hAnsi="ATT Aleck Sans" w:cs="ATT Aleck Sans"/>
        <w:spacing w:val="-1"/>
        <w:sz w:val="16"/>
        <w:szCs w:val="16"/>
      </w:rPr>
    </w:pPr>
    <w:r w:rsidRPr="00E56339">
      <w:rPr>
        <w:rFonts w:ascii="ATT Aleck Sans" w:hAnsi="ATT Aleck Sans" w:cs="ATT Aleck Sans"/>
        <w:spacing w:val="-1"/>
        <w:sz w:val="16"/>
        <w:szCs w:val="16"/>
      </w:rPr>
      <w:t xml:space="preserve">CONFIDENTIAL &amp; PROPRIETARY – NOT TO BE SHARED OR DISCLOSED OUTISDE AT&amp;T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80DCA" w14:textId="77777777" w:rsidR="0062470F" w:rsidRDefault="0062470F" w:rsidP="00327CEA">
      <w:r>
        <w:separator/>
      </w:r>
    </w:p>
  </w:footnote>
  <w:footnote w:type="continuationSeparator" w:id="0">
    <w:p w14:paraId="499A9E86" w14:textId="77777777" w:rsidR="0062470F" w:rsidRDefault="0062470F" w:rsidP="00327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7355" w14:textId="77777777" w:rsidR="00415A98" w:rsidRDefault="00415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DEDD9" w14:textId="2FA282EC" w:rsidR="00A43A5A" w:rsidRDefault="00A43A5A">
    <w:pPr>
      <w:pStyle w:val="Header"/>
    </w:pPr>
    <w:r w:rsidRPr="00761028">
      <w:rPr>
        <w:noProof/>
      </w:rPr>
      <w:drawing>
        <wp:anchor distT="0" distB="0" distL="114300" distR="114300" simplePos="0" relativeHeight="251657728" behindDoc="0" locked="0" layoutInCell="1" allowOverlap="1" wp14:anchorId="0885612B" wp14:editId="059F9BDC">
          <wp:simplePos x="0" y="0"/>
          <wp:positionH relativeFrom="leftMargin">
            <wp:posOffset>266065</wp:posOffset>
          </wp:positionH>
          <wp:positionV relativeFrom="topMargin">
            <wp:align>bottom</wp:align>
          </wp:positionV>
          <wp:extent cx="1512859" cy="876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black">
                  <a:xfrm>
                    <a:off x="0" y="0"/>
                    <a:ext cx="1512859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09674" w14:textId="404668BB" w:rsidR="00F4069C" w:rsidRPr="00761028" w:rsidRDefault="0062470F" w:rsidP="00761028">
    <w:pPr>
      <w:pStyle w:val="Header"/>
    </w:pPr>
    <w:sdt>
      <w:sdtPr>
        <w:id w:val="-79952824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B7F4C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F23B3" w:rsidRPr="00761028">
      <w:rPr>
        <w:noProof/>
      </w:rPr>
      <w:drawing>
        <wp:anchor distT="0" distB="0" distL="114300" distR="114300" simplePos="0" relativeHeight="251656704" behindDoc="0" locked="0" layoutInCell="1" allowOverlap="1" wp14:anchorId="72ECC2DB" wp14:editId="6DD1F3DC">
          <wp:simplePos x="0" y="0"/>
          <wp:positionH relativeFrom="margin">
            <wp:posOffset>-1162050</wp:posOffset>
          </wp:positionH>
          <wp:positionV relativeFrom="topMargin">
            <wp:align>bottom</wp:align>
          </wp:positionV>
          <wp:extent cx="1611523" cy="9334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black">
                  <a:xfrm>
                    <a:off x="0" y="0"/>
                    <a:ext cx="1611523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07046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802B0E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</w:abstractNum>
  <w:abstractNum w:abstractNumId="2" w15:restartNumberingAfterBreak="0">
    <w:nsid w:val="FFFFFF7D"/>
    <w:multiLevelType w:val="singleLevel"/>
    <w:tmpl w:val="E438F698"/>
    <w:lvl w:ilvl="0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</w:abstractNum>
  <w:abstractNum w:abstractNumId="3" w15:restartNumberingAfterBreak="0">
    <w:nsid w:val="FFFFFF7E"/>
    <w:multiLevelType w:val="singleLevel"/>
    <w:tmpl w:val="7938EA3E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</w:abstractNum>
  <w:abstractNum w:abstractNumId="4" w15:restartNumberingAfterBreak="0">
    <w:nsid w:val="FFFFFF7F"/>
    <w:multiLevelType w:val="singleLevel"/>
    <w:tmpl w:val="EE20C60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FFFFFF80"/>
    <w:multiLevelType w:val="singleLevel"/>
    <w:tmpl w:val="5C86EC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1EF3CA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00CDEF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</w:abstractNum>
  <w:abstractNum w:abstractNumId="8" w15:restartNumberingAfterBreak="0">
    <w:nsid w:val="FFFFFF83"/>
    <w:multiLevelType w:val="singleLevel"/>
    <w:tmpl w:val="4CF84C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BAE3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722C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7A27AF"/>
    <w:multiLevelType w:val="hybridMultilevel"/>
    <w:tmpl w:val="5200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74B2F"/>
    <w:multiLevelType w:val="hybridMultilevel"/>
    <w:tmpl w:val="C688F434"/>
    <w:lvl w:ilvl="0" w:tplc="0E1CC382">
      <w:start w:val="414"/>
      <w:numFmt w:val="bullet"/>
      <w:lvlText w:val=""/>
      <w:lvlJc w:val="left"/>
      <w:pPr>
        <w:ind w:left="180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0FB17AF"/>
    <w:multiLevelType w:val="multilevel"/>
    <w:tmpl w:val="1B669BCC"/>
    <w:name w:val="AT&amp;T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 – 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 – 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BA82883"/>
    <w:multiLevelType w:val="hybridMultilevel"/>
    <w:tmpl w:val="28DE2A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095EE5"/>
    <w:multiLevelType w:val="multilevel"/>
    <w:tmpl w:val="A662866A"/>
    <w:name w:val="AT&amp;T Bulle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59169D6"/>
    <w:multiLevelType w:val="hybridMultilevel"/>
    <w:tmpl w:val="5C7C8812"/>
    <w:lvl w:ilvl="0" w:tplc="8CA2C412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55430"/>
    <w:multiLevelType w:val="hybridMultilevel"/>
    <w:tmpl w:val="2C482450"/>
    <w:lvl w:ilvl="0" w:tplc="1B1EAFEE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981986"/>
    <w:multiLevelType w:val="hybridMultilevel"/>
    <w:tmpl w:val="09DA6630"/>
    <w:lvl w:ilvl="0" w:tplc="1102CB84">
      <w:numFmt w:val="bullet"/>
      <w:lvlText w:val=""/>
      <w:lvlJc w:val="left"/>
      <w:pPr>
        <w:ind w:left="720" w:hanging="360"/>
      </w:pPr>
      <w:rPr>
        <w:rFonts w:ascii="Symbol" w:eastAsiaTheme="minorEastAsia" w:hAnsi="Symbol" w:cs="ATT Aleck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4281D"/>
    <w:multiLevelType w:val="hybridMultilevel"/>
    <w:tmpl w:val="50E48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817DC4"/>
    <w:multiLevelType w:val="hybridMultilevel"/>
    <w:tmpl w:val="26CA759C"/>
    <w:lvl w:ilvl="0" w:tplc="631A4C40">
      <w:numFmt w:val="bullet"/>
      <w:lvlText w:val=""/>
      <w:lvlJc w:val="left"/>
      <w:pPr>
        <w:ind w:left="1080" w:hanging="360"/>
      </w:pPr>
      <w:rPr>
        <w:rFonts w:ascii="Symbol" w:eastAsiaTheme="minorEastAsia" w:hAnsi="Symbol" w:cs="Segoe UI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203033"/>
    <w:multiLevelType w:val="hybridMultilevel"/>
    <w:tmpl w:val="F95280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8A4B44E">
      <w:numFmt w:val="bullet"/>
      <w:lvlText w:val=""/>
      <w:lvlJc w:val="left"/>
      <w:pPr>
        <w:ind w:left="1440" w:hanging="360"/>
      </w:pPr>
      <w:rPr>
        <w:rFonts w:ascii="Symbol" w:eastAsiaTheme="minorEastAsia" w:hAnsi="Symbol" w:cs="ATT Aleck Sans" w:hint="default"/>
      </w:rPr>
    </w:lvl>
    <w:lvl w:ilvl="2" w:tplc="D8A4B44E">
      <w:numFmt w:val="bullet"/>
      <w:lvlText w:val=""/>
      <w:lvlJc w:val="left"/>
      <w:pPr>
        <w:ind w:left="2160" w:hanging="180"/>
      </w:pPr>
      <w:rPr>
        <w:rFonts w:ascii="Symbol" w:eastAsiaTheme="minorEastAsia" w:hAnsi="Symbol" w:cs="ATT Aleck San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86177"/>
    <w:multiLevelType w:val="hybridMultilevel"/>
    <w:tmpl w:val="9E34ADFC"/>
    <w:lvl w:ilvl="0" w:tplc="D8A4B44E">
      <w:numFmt w:val="bullet"/>
      <w:lvlText w:val=""/>
      <w:lvlJc w:val="left"/>
      <w:pPr>
        <w:ind w:left="720" w:hanging="360"/>
      </w:pPr>
      <w:rPr>
        <w:rFonts w:ascii="Symbol" w:eastAsiaTheme="minorEastAsia" w:hAnsi="Symbol" w:cs="ATT Aleck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D101D"/>
    <w:multiLevelType w:val="multilevel"/>
    <w:tmpl w:val="26D41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5"/>
  </w:num>
  <w:num w:numId="15">
    <w:abstractNumId w:val="17"/>
  </w:num>
  <w:num w:numId="16">
    <w:abstractNumId w:val="2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0"/>
  </w:num>
  <w:num w:numId="20">
    <w:abstractNumId w:val="14"/>
  </w:num>
  <w:num w:numId="21">
    <w:abstractNumId w:val="16"/>
  </w:num>
  <w:num w:numId="22">
    <w:abstractNumId w:val="18"/>
  </w:num>
  <w:num w:numId="23">
    <w:abstractNumId w:val="22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28"/>
    <w:rsid w:val="000165AD"/>
    <w:rsid w:val="00022F51"/>
    <w:rsid w:val="000515CF"/>
    <w:rsid w:val="000538FE"/>
    <w:rsid w:val="0006109D"/>
    <w:rsid w:val="00067178"/>
    <w:rsid w:val="000762E9"/>
    <w:rsid w:val="00087017"/>
    <w:rsid w:val="000A2437"/>
    <w:rsid w:val="000B1E89"/>
    <w:rsid w:val="000B2561"/>
    <w:rsid w:val="000E0D0C"/>
    <w:rsid w:val="00112DE8"/>
    <w:rsid w:val="00122F02"/>
    <w:rsid w:val="00127885"/>
    <w:rsid w:val="001301DA"/>
    <w:rsid w:val="001307B4"/>
    <w:rsid w:val="0017705E"/>
    <w:rsid w:val="00187E74"/>
    <w:rsid w:val="00194138"/>
    <w:rsid w:val="001B57A7"/>
    <w:rsid w:val="001C0929"/>
    <w:rsid w:val="001C0F24"/>
    <w:rsid w:val="001C3860"/>
    <w:rsid w:val="001E496E"/>
    <w:rsid w:val="001F5D42"/>
    <w:rsid w:val="0020021B"/>
    <w:rsid w:val="0020275B"/>
    <w:rsid w:val="00210C69"/>
    <w:rsid w:val="00221AA3"/>
    <w:rsid w:val="00223642"/>
    <w:rsid w:val="00252788"/>
    <w:rsid w:val="002641F5"/>
    <w:rsid w:val="002905D4"/>
    <w:rsid w:val="00295370"/>
    <w:rsid w:val="00297AF6"/>
    <w:rsid w:val="002A6F15"/>
    <w:rsid w:val="002B1414"/>
    <w:rsid w:val="002B49F3"/>
    <w:rsid w:val="002E3F08"/>
    <w:rsid w:val="002F23B3"/>
    <w:rsid w:val="0032425D"/>
    <w:rsid w:val="003247F3"/>
    <w:rsid w:val="00327CEA"/>
    <w:rsid w:val="00343B8D"/>
    <w:rsid w:val="00345A52"/>
    <w:rsid w:val="0036508E"/>
    <w:rsid w:val="003663DF"/>
    <w:rsid w:val="003A0455"/>
    <w:rsid w:val="003A3986"/>
    <w:rsid w:val="003B59B1"/>
    <w:rsid w:val="003B7054"/>
    <w:rsid w:val="003C4115"/>
    <w:rsid w:val="003D0424"/>
    <w:rsid w:val="003D168A"/>
    <w:rsid w:val="003F2BA8"/>
    <w:rsid w:val="003F6D9D"/>
    <w:rsid w:val="004023C9"/>
    <w:rsid w:val="00411F6B"/>
    <w:rsid w:val="00415A98"/>
    <w:rsid w:val="00420F6E"/>
    <w:rsid w:val="004227F6"/>
    <w:rsid w:val="00437671"/>
    <w:rsid w:val="00445051"/>
    <w:rsid w:val="004513D9"/>
    <w:rsid w:val="004716B8"/>
    <w:rsid w:val="00477DE5"/>
    <w:rsid w:val="004A244D"/>
    <w:rsid w:val="004B4AEC"/>
    <w:rsid w:val="004C6DF0"/>
    <w:rsid w:val="004F70A8"/>
    <w:rsid w:val="004F71F7"/>
    <w:rsid w:val="004F7E37"/>
    <w:rsid w:val="005062AB"/>
    <w:rsid w:val="00514525"/>
    <w:rsid w:val="00531025"/>
    <w:rsid w:val="00540BAD"/>
    <w:rsid w:val="005752AC"/>
    <w:rsid w:val="00585D35"/>
    <w:rsid w:val="005972F4"/>
    <w:rsid w:val="005979C8"/>
    <w:rsid w:val="005A3D63"/>
    <w:rsid w:val="005B7635"/>
    <w:rsid w:val="005C1EB0"/>
    <w:rsid w:val="005E5C53"/>
    <w:rsid w:val="005E661A"/>
    <w:rsid w:val="005F7A3C"/>
    <w:rsid w:val="005F7F95"/>
    <w:rsid w:val="00604DD8"/>
    <w:rsid w:val="00606AC6"/>
    <w:rsid w:val="00623553"/>
    <w:rsid w:val="0062470F"/>
    <w:rsid w:val="00641DF7"/>
    <w:rsid w:val="00642993"/>
    <w:rsid w:val="00650CB8"/>
    <w:rsid w:val="00654BCC"/>
    <w:rsid w:val="00663490"/>
    <w:rsid w:val="006861AF"/>
    <w:rsid w:val="00695C2D"/>
    <w:rsid w:val="006A286E"/>
    <w:rsid w:val="006B1488"/>
    <w:rsid w:val="006D5B89"/>
    <w:rsid w:val="006E6820"/>
    <w:rsid w:val="006F1FE7"/>
    <w:rsid w:val="007106E0"/>
    <w:rsid w:val="007237E3"/>
    <w:rsid w:val="007365DB"/>
    <w:rsid w:val="00745079"/>
    <w:rsid w:val="00745127"/>
    <w:rsid w:val="00761028"/>
    <w:rsid w:val="007706DC"/>
    <w:rsid w:val="00784E81"/>
    <w:rsid w:val="007A7B35"/>
    <w:rsid w:val="007A7C03"/>
    <w:rsid w:val="007B1209"/>
    <w:rsid w:val="007C3A3A"/>
    <w:rsid w:val="007C5097"/>
    <w:rsid w:val="007D0F24"/>
    <w:rsid w:val="007D3599"/>
    <w:rsid w:val="007D3C33"/>
    <w:rsid w:val="007F523A"/>
    <w:rsid w:val="007F62AD"/>
    <w:rsid w:val="007F7D41"/>
    <w:rsid w:val="008133B3"/>
    <w:rsid w:val="00821A95"/>
    <w:rsid w:val="008328B5"/>
    <w:rsid w:val="00844761"/>
    <w:rsid w:val="0085493A"/>
    <w:rsid w:val="00854FB0"/>
    <w:rsid w:val="00856BAE"/>
    <w:rsid w:val="00882A2D"/>
    <w:rsid w:val="00884AC1"/>
    <w:rsid w:val="00895E0D"/>
    <w:rsid w:val="008A3A45"/>
    <w:rsid w:val="008A5347"/>
    <w:rsid w:val="008D0543"/>
    <w:rsid w:val="008E67B2"/>
    <w:rsid w:val="009035BD"/>
    <w:rsid w:val="009036C9"/>
    <w:rsid w:val="00907DDE"/>
    <w:rsid w:val="009110A6"/>
    <w:rsid w:val="00922195"/>
    <w:rsid w:val="00922846"/>
    <w:rsid w:val="00937185"/>
    <w:rsid w:val="00953BA1"/>
    <w:rsid w:val="00966E31"/>
    <w:rsid w:val="00985D46"/>
    <w:rsid w:val="009A08C8"/>
    <w:rsid w:val="009A17E1"/>
    <w:rsid w:val="009A54E9"/>
    <w:rsid w:val="009B021E"/>
    <w:rsid w:val="009B0602"/>
    <w:rsid w:val="009B4EF1"/>
    <w:rsid w:val="009B668B"/>
    <w:rsid w:val="009C7962"/>
    <w:rsid w:val="00A16315"/>
    <w:rsid w:val="00A27E71"/>
    <w:rsid w:val="00A43A5A"/>
    <w:rsid w:val="00A464E4"/>
    <w:rsid w:val="00A55B38"/>
    <w:rsid w:val="00A6366D"/>
    <w:rsid w:val="00A660ED"/>
    <w:rsid w:val="00A7429E"/>
    <w:rsid w:val="00A822E2"/>
    <w:rsid w:val="00A86D2C"/>
    <w:rsid w:val="00A87746"/>
    <w:rsid w:val="00AB031E"/>
    <w:rsid w:val="00AB1CC9"/>
    <w:rsid w:val="00AB2284"/>
    <w:rsid w:val="00AB5CEA"/>
    <w:rsid w:val="00AD29AF"/>
    <w:rsid w:val="00AD43DF"/>
    <w:rsid w:val="00AD49C1"/>
    <w:rsid w:val="00AE3C97"/>
    <w:rsid w:val="00AF5CAC"/>
    <w:rsid w:val="00B04151"/>
    <w:rsid w:val="00B16D1D"/>
    <w:rsid w:val="00B2737D"/>
    <w:rsid w:val="00B408A6"/>
    <w:rsid w:val="00B448D5"/>
    <w:rsid w:val="00B51AA6"/>
    <w:rsid w:val="00B7483C"/>
    <w:rsid w:val="00B926E9"/>
    <w:rsid w:val="00BA11AC"/>
    <w:rsid w:val="00BA6FF6"/>
    <w:rsid w:val="00BB48CD"/>
    <w:rsid w:val="00BC07BE"/>
    <w:rsid w:val="00C117EC"/>
    <w:rsid w:val="00C12228"/>
    <w:rsid w:val="00C23073"/>
    <w:rsid w:val="00C23DBB"/>
    <w:rsid w:val="00C24522"/>
    <w:rsid w:val="00C45C1E"/>
    <w:rsid w:val="00C53630"/>
    <w:rsid w:val="00C615BE"/>
    <w:rsid w:val="00C75E6E"/>
    <w:rsid w:val="00C91641"/>
    <w:rsid w:val="00CB6732"/>
    <w:rsid w:val="00CC7844"/>
    <w:rsid w:val="00CE525E"/>
    <w:rsid w:val="00CF5E60"/>
    <w:rsid w:val="00D019BE"/>
    <w:rsid w:val="00D52666"/>
    <w:rsid w:val="00D52E14"/>
    <w:rsid w:val="00D61214"/>
    <w:rsid w:val="00D61CE1"/>
    <w:rsid w:val="00D638F5"/>
    <w:rsid w:val="00D77BBE"/>
    <w:rsid w:val="00D85693"/>
    <w:rsid w:val="00DB3641"/>
    <w:rsid w:val="00DB4622"/>
    <w:rsid w:val="00DD5503"/>
    <w:rsid w:val="00DE2F32"/>
    <w:rsid w:val="00DF0C11"/>
    <w:rsid w:val="00DF4F26"/>
    <w:rsid w:val="00E03741"/>
    <w:rsid w:val="00E04D0E"/>
    <w:rsid w:val="00E06959"/>
    <w:rsid w:val="00E17009"/>
    <w:rsid w:val="00E22382"/>
    <w:rsid w:val="00E22FCE"/>
    <w:rsid w:val="00E2446C"/>
    <w:rsid w:val="00E46199"/>
    <w:rsid w:val="00E47A73"/>
    <w:rsid w:val="00E5079A"/>
    <w:rsid w:val="00E52176"/>
    <w:rsid w:val="00E5355D"/>
    <w:rsid w:val="00E5476E"/>
    <w:rsid w:val="00E56339"/>
    <w:rsid w:val="00E5675C"/>
    <w:rsid w:val="00EC4792"/>
    <w:rsid w:val="00EC71F2"/>
    <w:rsid w:val="00ED43BE"/>
    <w:rsid w:val="00ED7D77"/>
    <w:rsid w:val="00EF2870"/>
    <w:rsid w:val="00F10257"/>
    <w:rsid w:val="00F317C5"/>
    <w:rsid w:val="00F359DF"/>
    <w:rsid w:val="00F4069C"/>
    <w:rsid w:val="00F412B1"/>
    <w:rsid w:val="00F465B0"/>
    <w:rsid w:val="00F51311"/>
    <w:rsid w:val="00F525E7"/>
    <w:rsid w:val="00F74D40"/>
    <w:rsid w:val="00F81571"/>
    <w:rsid w:val="00F81928"/>
    <w:rsid w:val="00F9017C"/>
    <w:rsid w:val="00F92C6A"/>
    <w:rsid w:val="00F934DD"/>
    <w:rsid w:val="00F948C0"/>
    <w:rsid w:val="00FA0584"/>
    <w:rsid w:val="00FB2914"/>
    <w:rsid w:val="00FC175B"/>
    <w:rsid w:val="00FC3F79"/>
    <w:rsid w:val="00FC4B5C"/>
    <w:rsid w:val="00FE1077"/>
    <w:rsid w:val="00FE4B4F"/>
    <w:rsid w:val="00FE6B0E"/>
    <w:rsid w:val="00FF53B7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8F87BCB"/>
  <w14:defaultImageDpi w14:val="300"/>
  <w15:docId w15:val="{F518D511-3875-4E40-A4A7-AB970CC1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7BE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Cs/>
      <w:color w:val="009FDB" w:themeColor="text1"/>
      <w:sz w:val="50"/>
      <w:szCs w:val="32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3F6D9D"/>
    <w:pPr>
      <w:pBdr>
        <w:top w:val="single" w:sz="2" w:space="4" w:color="000000" w:themeColor="text2"/>
      </w:pBdr>
      <w:outlineLvl w:val="1"/>
    </w:pPr>
    <w:rPr>
      <w:b/>
      <w:color w:val="000000" w:themeColor="text2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79A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bCs/>
      <w:color w:val="009FDB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599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color w:val="000000" w:themeColor="text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C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CEA"/>
  </w:style>
  <w:style w:type="paragraph" w:styleId="Footer">
    <w:name w:val="footer"/>
    <w:basedOn w:val="Normal"/>
    <w:link w:val="FooterChar"/>
    <w:uiPriority w:val="99"/>
    <w:unhideWhenUsed/>
    <w:rsid w:val="00654BCC"/>
    <w:pPr>
      <w:tabs>
        <w:tab w:val="center" w:pos="4320"/>
        <w:tab w:val="right" w:pos="8640"/>
      </w:tabs>
    </w:pPr>
    <w:rPr>
      <w:color w:val="959595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654BCC"/>
    <w:rPr>
      <w:color w:val="959595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C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CE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C07BE"/>
    <w:rPr>
      <w:rFonts w:asciiTheme="majorHAnsi" w:eastAsiaTheme="majorEastAsia" w:hAnsiTheme="majorHAnsi" w:cstheme="majorBidi"/>
      <w:bCs/>
      <w:color w:val="009FDB" w:themeColor="text1"/>
      <w:sz w:val="50"/>
      <w:szCs w:val="32"/>
    </w:rPr>
  </w:style>
  <w:style w:type="paragraph" w:customStyle="1" w:styleId="Introduction">
    <w:name w:val="Introduction"/>
    <w:next w:val="BodyText"/>
    <w:qFormat/>
    <w:rsid w:val="00BC07BE"/>
    <w:pPr>
      <w:spacing w:after="240"/>
    </w:pPr>
    <w:rPr>
      <w:rFonts w:asciiTheme="majorHAnsi" w:eastAsiaTheme="majorEastAsia" w:hAnsiTheme="majorHAnsi" w:cstheme="majorBidi"/>
      <w:bCs/>
      <w:color w:val="000000" w:themeColor="text2"/>
      <w:sz w:val="26"/>
      <w:szCs w:val="26"/>
    </w:rPr>
  </w:style>
  <w:style w:type="character" w:styleId="Hyperlink">
    <w:name w:val="Hyperlink"/>
    <w:uiPriority w:val="99"/>
    <w:unhideWhenUsed/>
    <w:qFormat/>
    <w:rsid w:val="00ED7D77"/>
    <w:rPr>
      <w:rFonts w:asciiTheme="minorHAnsi" w:hAnsiTheme="minorHAnsi"/>
      <w:color w:val="0568AE" w:themeColor="accent4"/>
      <w:sz w:val="21"/>
    </w:rPr>
  </w:style>
  <w:style w:type="paragraph" w:styleId="BodyText">
    <w:name w:val="Body Text"/>
    <w:basedOn w:val="Normal"/>
    <w:link w:val="BodyTextChar"/>
    <w:uiPriority w:val="99"/>
    <w:unhideWhenUsed/>
    <w:rsid w:val="00E5079A"/>
    <w:pPr>
      <w:spacing w:after="24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E5079A"/>
    <w:rPr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3F6D9D"/>
    <w:rPr>
      <w:b/>
      <w:color w:val="000000" w:themeColor="text2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E5079A"/>
    <w:rPr>
      <w:rFonts w:asciiTheme="majorHAnsi" w:eastAsiaTheme="majorEastAsia" w:hAnsiTheme="majorHAnsi" w:cstheme="majorBidi"/>
      <w:b/>
      <w:bCs/>
      <w:color w:val="009FDB" w:themeColor="accent1"/>
      <w:sz w:val="28"/>
    </w:rPr>
  </w:style>
  <w:style w:type="character" w:customStyle="1" w:styleId="LinkCharacter">
    <w:name w:val="Link Character"/>
    <w:uiPriority w:val="1"/>
    <w:qFormat/>
    <w:rsid w:val="00127885"/>
    <w:rPr>
      <w:rFonts w:asciiTheme="minorHAnsi" w:hAnsiTheme="minorHAnsi"/>
      <w:color w:val="0568AE" w:themeColor="accent4"/>
      <w:sz w:val="21"/>
    </w:rPr>
  </w:style>
  <w:style w:type="paragraph" w:customStyle="1" w:styleId="LinkParagraph">
    <w:name w:val="Link Paragraph"/>
    <w:basedOn w:val="BodyText"/>
    <w:qFormat/>
    <w:rsid w:val="00E5079A"/>
    <w:pPr>
      <w:spacing w:after="0"/>
    </w:pPr>
    <w:rPr>
      <w:color w:val="0568AE" w:themeColor="accent4"/>
    </w:rPr>
  </w:style>
  <w:style w:type="character" w:customStyle="1" w:styleId="Heading4Char">
    <w:name w:val="Heading 4 Char"/>
    <w:basedOn w:val="DefaultParagraphFont"/>
    <w:link w:val="Heading4"/>
    <w:uiPriority w:val="9"/>
    <w:rsid w:val="007D3599"/>
    <w:rPr>
      <w:rFonts w:asciiTheme="majorHAnsi" w:eastAsiaTheme="majorEastAsia" w:hAnsiTheme="majorHAnsi" w:cstheme="majorBidi"/>
      <w:b/>
      <w:bCs/>
      <w:iCs/>
      <w:color w:val="000000" w:themeColor="text2"/>
      <w:sz w:val="21"/>
    </w:rPr>
  </w:style>
  <w:style w:type="paragraph" w:styleId="ListNumber">
    <w:name w:val="List Number"/>
    <w:basedOn w:val="Normal"/>
    <w:uiPriority w:val="99"/>
    <w:unhideWhenUsed/>
    <w:rsid w:val="00A822E2"/>
    <w:pPr>
      <w:numPr>
        <w:numId w:val="13"/>
      </w:numPr>
      <w:contextualSpacing/>
    </w:pPr>
    <w:rPr>
      <w:sz w:val="21"/>
      <w:szCs w:val="21"/>
    </w:rPr>
  </w:style>
  <w:style w:type="paragraph" w:styleId="ListNumber2">
    <w:name w:val="List Number 2"/>
    <w:basedOn w:val="Normal"/>
    <w:uiPriority w:val="99"/>
    <w:unhideWhenUsed/>
    <w:rsid w:val="001E496E"/>
    <w:pPr>
      <w:numPr>
        <w:ilvl w:val="1"/>
        <w:numId w:val="13"/>
      </w:numPr>
      <w:contextualSpacing/>
    </w:pPr>
    <w:rPr>
      <w:sz w:val="21"/>
      <w:szCs w:val="21"/>
    </w:rPr>
  </w:style>
  <w:style w:type="paragraph" w:styleId="ListNumber3">
    <w:name w:val="List Number 3"/>
    <w:basedOn w:val="Normal"/>
    <w:uiPriority w:val="99"/>
    <w:unhideWhenUsed/>
    <w:rsid w:val="00C615BE"/>
    <w:pPr>
      <w:numPr>
        <w:ilvl w:val="2"/>
        <w:numId w:val="13"/>
      </w:numPr>
      <w:contextualSpacing/>
    </w:pPr>
    <w:rPr>
      <w:sz w:val="21"/>
      <w:szCs w:val="21"/>
    </w:rPr>
  </w:style>
  <w:style w:type="paragraph" w:styleId="ListNumber4">
    <w:name w:val="List Number 4"/>
    <w:basedOn w:val="Normal"/>
    <w:uiPriority w:val="99"/>
    <w:unhideWhenUsed/>
    <w:rsid w:val="00937185"/>
    <w:pPr>
      <w:numPr>
        <w:ilvl w:val="3"/>
        <w:numId w:val="13"/>
      </w:numPr>
      <w:contextualSpacing/>
    </w:pPr>
    <w:rPr>
      <w:sz w:val="21"/>
      <w:szCs w:val="21"/>
    </w:rPr>
  </w:style>
  <w:style w:type="paragraph" w:styleId="ListNumber5">
    <w:name w:val="List Number 5"/>
    <w:basedOn w:val="Normal"/>
    <w:uiPriority w:val="99"/>
    <w:unhideWhenUsed/>
    <w:rsid w:val="007106E0"/>
    <w:pPr>
      <w:numPr>
        <w:ilvl w:val="4"/>
        <w:numId w:val="13"/>
      </w:numPr>
      <w:contextualSpacing/>
    </w:pPr>
    <w:rPr>
      <w:sz w:val="21"/>
      <w:szCs w:val="21"/>
    </w:rPr>
  </w:style>
  <w:style w:type="paragraph" w:customStyle="1" w:styleId="Spacer">
    <w:name w:val="Spacer"/>
    <w:basedOn w:val="BodyText"/>
    <w:qFormat/>
    <w:rsid w:val="00FC4B5C"/>
    <w:pPr>
      <w:spacing w:after="0"/>
    </w:pPr>
    <w:rPr>
      <w:color w:val="FF0000"/>
    </w:rPr>
  </w:style>
  <w:style w:type="paragraph" w:styleId="ListBullet">
    <w:name w:val="List Bullet"/>
    <w:basedOn w:val="Normal"/>
    <w:uiPriority w:val="99"/>
    <w:unhideWhenUsed/>
    <w:rsid w:val="00420F6E"/>
    <w:pPr>
      <w:numPr>
        <w:numId w:val="14"/>
      </w:numPr>
      <w:contextualSpacing/>
    </w:pPr>
    <w:rPr>
      <w:sz w:val="21"/>
      <w:szCs w:val="21"/>
    </w:rPr>
  </w:style>
  <w:style w:type="paragraph" w:styleId="ListBullet2">
    <w:name w:val="List Bullet 2"/>
    <w:basedOn w:val="Normal"/>
    <w:uiPriority w:val="99"/>
    <w:unhideWhenUsed/>
    <w:rsid w:val="00C91641"/>
    <w:pPr>
      <w:numPr>
        <w:ilvl w:val="1"/>
        <w:numId w:val="14"/>
      </w:numPr>
      <w:contextualSpacing/>
    </w:pPr>
    <w:rPr>
      <w:sz w:val="21"/>
      <w:szCs w:val="21"/>
    </w:rPr>
  </w:style>
  <w:style w:type="paragraph" w:styleId="ListBullet3">
    <w:name w:val="List Bullet 3"/>
    <w:basedOn w:val="Normal"/>
    <w:uiPriority w:val="99"/>
    <w:unhideWhenUsed/>
    <w:rsid w:val="002E3F08"/>
    <w:pPr>
      <w:numPr>
        <w:ilvl w:val="2"/>
        <w:numId w:val="14"/>
      </w:numPr>
      <w:contextualSpacing/>
    </w:pPr>
    <w:rPr>
      <w:sz w:val="21"/>
      <w:szCs w:val="21"/>
    </w:rPr>
  </w:style>
  <w:style w:type="paragraph" w:styleId="ListBullet4">
    <w:name w:val="List Bullet 4"/>
    <w:basedOn w:val="Normal"/>
    <w:uiPriority w:val="99"/>
    <w:unhideWhenUsed/>
    <w:rsid w:val="002E3F08"/>
    <w:pPr>
      <w:numPr>
        <w:ilvl w:val="3"/>
        <w:numId w:val="14"/>
      </w:numPr>
      <w:contextualSpacing/>
    </w:pPr>
    <w:rPr>
      <w:sz w:val="21"/>
      <w:szCs w:val="21"/>
    </w:rPr>
  </w:style>
  <w:style w:type="paragraph" w:styleId="ListBullet5">
    <w:name w:val="List Bullet 5"/>
    <w:basedOn w:val="Normal"/>
    <w:uiPriority w:val="99"/>
    <w:unhideWhenUsed/>
    <w:rsid w:val="001301DA"/>
    <w:pPr>
      <w:numPr>
        <w:ilvl w:val="4"/>
        <w:numId w:val="14"/>
      </w:numPr>
      <w:contextualSpacing/>
    </w:pPr>
    <w:rPr>
      <w:sz w:val="21"/>
      <w:szCs w:val="21"/>
    </w:rPr>
  </w:style>
  <w:style w:type="table" w:styleId="TableGrid">
    <w:name w:val="Table Grid"/>
    <w:basedOn w:val="TableNormal"/>
    <w:uiPriority w:val="59"/>
    <w:rsid w:val="00297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Text">
    <w:name w:val="Table Header Text"/>
    <w:basedOn w:val="Spacer"/>
    <w:qFormat/>
    <w:rsid w:val="00297AF6"/>
    <w:rPr>
      <w:color w:val="FFFFFF" w:themeColor="background1"/>
    </w:rPr>
  </w:style>
  <w:style w:type="paragraph" w:customStyle="1" w:styleId="TableText">
    <w:name w:val="Table Text"/>
    <w:basedOn w:val="BodyText"/>
    <w:qFormat/>
    <w:rsid w:val="00297AF6"/>
    <w:pPr>
      <w:spacing w:after="0"/>
    </w:pPr>
    <w:rPr>
      <w:color w:val="000000" w:themeColor="text2"/>
    </w:rPr>
  </w:style>
  <w:style w:type="table" w:customStyle="1" w:styleId="2016ATTTable">
    <w:name w:val="2016 ATT Table"/>
    <w:basedOn w:val="LightList-Accent6"/>
    <w:uiPriority w:val="99"/>
    <w:rsid w:val="00BA11AC"/>
    <w:rPr>
      <w:color w:val="000000" w:themeColor="text2"/>
      <w:sz w:val="21"/>
      <w:szCs w:val="20"/>
    </w:rPr>
    <w:tblPr>
      <w:tblBorders>
        <w:top w:val="single" w:sz="4" w:space="0" w:color="959595" w:themeColor="accent5"/>
        <w:left w:val="single" w:sz="4" w:space="0" w:color="959595" w:themeColor="accent5"/>
        <w:bottom w:val="single" w:sz="4" w:space="0" w:color="959595" w:themeColor="accent5"/>
        <w:right w:val="single" w:sz="4" w:space="0" w:color="959595" w:themeColor="accent5"/>
        <w:insideH w:val="single" w:sz="4" w:space="0" w:color="959595" w:themeColor="accent5"/>
        <w:insideV w:val="single" w:sz="4" w:space="0" w:color="959595" w:themeColor="accent5"/>
      </w:tblBorders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inorHAnsi" w:hAnsiTheme="minorHAnsi"/>
        <w:b w:val="0"/>
        <w:bCs/>
        <w:color w:val="FFFFFF" w:themeColor="background1"/>
        <w:sz w:val="21"/>
      </w:rPr>
      <w:tblPr/>
      <w:tcPr>
        <w:shd w:val="clear" w:color="auto" w:fill="00000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5A5A" w:themeColor="accent6"/>
          <w:left w:val="single" w:sz="8" w:space="0" w:color="5A5A5A" w:themeColor="accent6"/>
          <w:bottom w:val="single" w:sz="8" w:space="0" w:color="5A5A5A" w:themeColor="accent6"/>
          <w:right w:val="single" w:sz="8" w:space="0" w:color="5A5A5A" w:themeColor="accent6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5A5A5A" w:themeColor="accent6"/>
          <w:left w:val="single" w:sz="8" w:space="0" w:color="5A5A5A" w:themeColor="accent6"/>
          <w:bottom w:val="single" w:sz="8" w:space="0" w:color="5A5A5A" w:themeColor="accent6"/>
          <w:right w:val="single" w:sz="8" w:space="0" w:color="5A5A5A" w:themeColor="accent6"/>
        </w:tcBorders>
      </w:tcPr>
    </w:tblStylePr>
    <w:tblStylePr w:type="band1Horz">
      <w:tblPr/>
      <w:tcPr>
        <w:tcBorders>
          <w:top w:val="single" w:sz="4" w:space="0" w:color="959595" w:themeColor="accent5"/>
          <w:left w:val="single" w:sz="4" w:space="0" w:color="959595" w:themeColor="accent5"/>
          <w:bottom w:val="single" w:sz="4" w:space="0" w:color="959595" w:themeColor="accent5"/>
          <w:right w:val="single" w:sz="4" w:space="0" w:color="959595" w:themeColor="accent5"/>
          <w:insideH w:val="single" w:sz="4" w:space="0" w:color="959595" w:themeColor="accent5"/>
          <w:insideV w:val="single" w:sz="4" w:space="0" w:color="959595" w:themeColor="accent5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959595" w:themeColor="accent5"/>
          <w:left w:val="single" w:sz="4" w:space="0" w:color="959595" w:themeColor="accent5"/>
          <w:bottom w:val="single" w:sz="4" w:space="0" w:color="959595" w:themeColor="accent5"/>
          <w:right w:val="single" w:sz="4" w:space="0" w:color="959595" w:themeColor="accent5"/>
          <w:insideH w:val="single" w:sz="4" w:space="0" w:color="959595" w:themeColor="accent5"/>
          <w:insideV w:val="single" w:sz="4" w:space="0" w:color="959595" w:themeColor="accent5"/>
        </w:tcBorders>
        <w:shd w:val="clear" w:color="auto" w:fill="F2F2F2"/>
      </w:tcPr>
    </w:tblStylePr>
  </w:style>
  <w:style w:type="paragraph" w:customStyle="1" w:styleId="Tablecaption">
    <w:name w:val="Table caption"/>
    <w:basedOn w:val="BodyText"/>
    <w:qFormat/>
    <w:rsid w:val="00C53630"/>
    <w:pPr>
      <w:spacing w:before="120"/>
    </w:pPr>
    <w:rPr>
      <w:sz w:val="18"/>
      <w:szCs w:val="18"/>
    </w:rPr>
  </w:style>
  <w:style w:type="table" w:styleId="ColorfulList-Accent5">
    <w:name w:val="Colorful List Accent 5"/>
    <w:basedOn w:val="TableNormal"/>
    <w:uiPriority w:val="72"/>
    <w:rsid w:val="001307B4"/>
    <w:rPr>
      <w:color w:val="009FDB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848" w:themeFill="accent6" w:themeFillShade="CC"/>
      </w:tcPr>
    </w:tblStylePr>
    <w:tblStylePr w:type="lastRow">
      <w:rPr>
        <w:b/>
        <w:bCs/>
        <w:color w:val="484848" w:themeColor="accent6" w:themeShade="CC"/>
      </w:rPr>
      <w:tblPr/>
      <w:tcPr>
        <w:tcBorders>
          <w:top w:val="single" w:sz="12" w:space="0" w:color="009FD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E4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LightList-Accent6">
    <w:name w:val="Light List Accent 6"/>
    <w:basedOn w:val="TableNormal"/>
    <w:uiPriority w:val="61"/>
    <w:rsid w:val="00821A95"/>
    <w:tblPr>
      <w:tblStyleRowBandSize w:val="1"/>
      <w:tblStyleColBandSize w:val="1"/>
      <w:tblBorders>
        <w:top w:val="single" w:sz="8" w:space="0" w:color="5A5A5A" w:themeColor="accent6"/>
        <w:left w:val="single" w:sz="8" w:space="0" w:color="5A5A5A" w:themeColor="accent6"/>
        <w:bottom w:val="single" w:sz="8" w:space="0" w:color="5A5A5A" w:themeColor="accent6"/>
        <w:right w:val="single" w:sz="8" w:space="0" w:color="5A5A5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5A5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5A5A" w:themeColor="accent6"/>
          <w:left w:val="single" w:sz="8" w:space="0" w:color="5A5A5A" w:themeColor="accent6"/>
          <w:bottom w:val="single" w:sz="8" w:space="0" w:color="5A5A5A" w:themeColor="accent6"/>
          <w:right w:val="single" w:sz="8" w:space="0" w:color="5A5A5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5A5A" w:themeColor="accent6"/>
          <w:left w:val="single" w:sz="8" w:space="0" w:color="5A5A5A" w:themeColor="accent6"/>
          <w:bottom w:val="single" w:sz="8" w:space="0" w:color="5A5A5A" w:themeColor="accent6"/>
          <w:right w:val="single" w:sz="8" w:space="0" w:color="5A5A5A" w:themeColor="accent6"/>
        </w:tcBorders>
      </w:tcPr>
    </w:tblStylePr>
    <w:tblStylePr w:type="band1Horz">
      <w:tblPr/>
      <w:tcPr>
        <w:tcBorders>
          <w:top w:val="single" w:sz="8" w:space="0" w:color="5A5A5A" w:themeColor="accent6"/>
          <w:left w:val="single" w:sz="8" w:space="0" w:color="5A5A5A" w:themeColor="accent6"/>
          <w:bottom w:val="single" w:sz="8" w:space="0" w:color="5A5A5A" w:themeColor="accent6"/>
          <w:right w:val="single" w:sz="8" w:space="0" w:color="5A5A5A" w:themeColor="accent6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B0602"/>
    <w:pPr>
      <w:spacing w:before="120" w:after="240"/>
    </w:pPr>
    <w:rPr>
      <w:bCs/>
      <w:color w:val="000000" w:themeColor="text2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37671"/>
  </w:style>
  <w:style w:type="character" w:styleId="FollowedHyperlink">
    <w:name w:val="FollowedHyperlink"/>
    <w:basedOn w:val="DefaultParagraphFont"/>
    <w:uiPriority w:val="99"/>
    <w:semiHidden/>
    <w:unhideWhenUsed/>
    <w:rsid w:val="00127885"/>
    <w:rPr>
      <w:color w:val="0568AE" w:themeColor="followedHyperlink"/>
      <w:u w:val="none"/>
    </w:rPr>
  </w:style>
  <w:style w:type="paragraph" w:styleId="List5">
    <w:name w:val="List 5"/>
    <w:basedOn w:val="Normal"/>
    <w:uiPriority w:val="99"/>
    <w:unhideWhenUsed/>
    <w:rsid w:val="00F4069C"/>
    <w:pPr>
      <w:ind w:left="1800" w:hanging="360"/>
      <w:contextualSpacing/>
    </w:pPr>
  </w:style>
  <w:style w:type="paragraph" w:styleId="ListParagraph">
    <w:name w:val="List Paragraph"/>
    <w:basedOn w:val="Normal"/>
    <w:uiPriority w:val="34"/>
    <w:qFormat/>
    <w:rsid w:val="005C1EB0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F5E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5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A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2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PMigrations@att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41654@at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ESPMigrations@att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41654@att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5174\AppData\Local\Temp\Temp1_att_external_temp_160106.dotx.assetdownload.zip\att_external_temp_160106.dotx" TargetMode="External"/></Relationships>
</file>

<file path=word/theme/theme1.xml><?xml version="1.0" encoding="utf-8"?>
<a:theme xmlns:a="http://schemas.openxmlformats.org/drawingml/2006/main" name="ATT">
  <a:themeElements>
    <a:clrScheme name="ATT 3">
      <a:dk1>
        <a:srgbClr val="009FDB"/>
      </a:dk1>
      <a:lt1>
        <a:sysClr val="window" lastClr="FFFFFF"/>
      </a:lt1>
      <a:dk2>
        <a:srgbClr val="000000"/>
      </a:dk2>
      <a:lt2>
        <a:srgbClr val="D2D2D2"/>
      </a:lt2>
      <a:accent1>
        <a:srgbClr val="009FDB"/>
      </a:accent1>
      <a:accent2>
        <a:srgbClr val="EA7400"/>
      </a:accent2>
      <a:accent3>
        <a:srgbClr val="71C5E8"/>
      </a:accent3>
      <a:accent4>
        <a:srgbClr val="0568AE"/>
      </a:accent4>
      <a:accent5>
        <a:srgbClr val="959595"/>
      </a:accent5>
      <a:accent6>
        <a:srgbClr val="5A5A5A"/>
      </a:accent6>
      <a:hlink>
        <a:srgbClr val="0B1763"/>
      </a:hlink>
      <a:folHlink>
        <a:srgbClr val="0568AE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  <a:effectLst/>
      </a:spPr>
      <a:bodyPr lIns="0" tIns="0" rIns="0" bIns="0"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6350" cmpd="sng">
          <a:solidFill>
            <a:schemeClr val="accent6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</a:spPr>
      <a:bodyPr wrap="square" lIns="0" tIns="0" rIns="0" bIns="0" rtlCol="0">
        <a:noAutofit/>
      </a:bodyPr>
      <a:lstStyle>
        <a:defPPr>
          <a:defRPr sz="1400" dirty="0" err="1"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tt_std_globe_alone_template_151214" id="{8CA67327-87EF-4B47-85BA-5AB34854F2E9}" vid="{33D8F6E0-4596-4FD4-A674-5972D82C8D5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F2A726-DFB8-4964-91D2-8165EBB5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att_external_temp_160106</Template>
  <TotalTime>1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 External Word Template</vt:lpstr>
    </vt:vector>
  </TitlesOfParts>
  <Company>Interbrand NY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External Word Template</dc:title>
  <dc:subject/>
  <dc:creator>Kate Beinecke</dc:creator>
  <cp:keywords/>
  <dc:description/>
  <cp:lastModifiedBy>BEINECKE, KATE</cp:lastModifiedBy>
  <cp:revision>4</cp:revision>
  <cp:lastPrinted>2020-04-28T16:29:00Z</cp:lastPrinted>
  <dcterms:created xsi:type="dcterms:W3CDTF">2020-06-22T15:19:00Z</dcterms:created>
  <dcterms:modified xsi:type="dcterms:W3CDTF">2020-06-22T19:52:00Z</dcterms:modified>
</cp:coreProperties>
</file>